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eastAsia="Georgia"/>
          <w:b/>
          <w:color w:val="18293A"/>
          <w:sz w:val="48"/>
        </w:rPr>
        <w:t>Where He Leads Me</w:t>
      </w:r>
    </w:p>
    <w:p>
      <w:pPr>
        <w:jc w:val="center"/>
      </w:pPr>
      <w:r>
        <w:rPr>
          <w:b/>
          <w:color w:val="B15F2A"/>
          <w:sz w:val="22"/>
        </w:rPr>
        <w:t>Small Group Handout: Hearing Christ’s Call and Following All the Way</w:t>
      </w:r>
    </w:p>
    <w:p>
      <w:pPr>
        <w:jc w:val="center"/>
      </w:pPr>
      <w:r>
        <w:drawing>
          <wp:inline xmlns:a="http://schemas.openxmlformats.org/drawingml/2006/main" xmlns:pic="http://schemas.openxmlformats.org/drawingml/2006/picture">
            <wp:extent cx="5212080" cy="2930236"/>
            <wp:docPr id="1" name="Picture 1"/>
            <wp:cNvGraphicFramePr>
              <a:graphicFrameLocks noChangeAspect="1"/>
            </wp:cNvGraphicFramePr>
            <a:graphic>
              <a:graphicData uri="http://schemas.openxmlformats.org/drawingml/2006/picture">
                <pic:pic>
                  <pic:nvPicPr>
                    <pic:cNvPr id="0" name="path_cross_16x9.jpg"/>
                    <pic:cNvPicPr/>
                  </pic:nvPicPr>
                  <pic:blipFill>
                    <a:blip r:embed="rId11"/>
                    <a:stretch>
                      <a:fillRect/>
                    </a:stretch>
                  </pic:blipFill>
                  <pic:spPr>
                    <a:xfrm>
                      <a:off x="0" y="0"/>
                      <a:ext cx="5212080" cy="2930236"/>
                    </a:xfrm>
                    <a:prstGeom prst="rect"/>
                  </pic:spPr>
                </pic:pic>
              </a:graphicData>
            </a:graphic>
          </wp:inline>
        </w:drawing>
      </w:r>
    </w:p>
    <w:p/>
    <w:tbl>
      <w:tblPr>
        <w:tblW w:type="auto" w:w="0"/>
        <w:jc w:val="center"/>
        <w:tblLayout w:type="autofit"/>
        <w:tblLook w:firstColumn="1" w:firstRow="1" w:lastColumn="0" w:lastRow="0" w:noHBand="0" w:noVBand="1" w:val="04A0"/>
      </w:tblPr>
      <w:tblGrid>
        <w:gridCol w:w="5184"/>
        <w:gridCol w:w="5184"/>
      </w:tblGrid>
      <w:tr>
        <w:tc>
          <w:tcPr>
            <w:tcW w:type="dxa" w:w="5184"/>
            <w:shd w:fill="F1E1CC"/>
            <w:tcBorders>
              <w:top w:val="single" w:sz="4" w:space="0" w:color="D8C4A8"/>
              <w:left w:val="single" w:sz="4" w:space="0" w:color="D8C4A8"/>
              <w:bottom w:val="single" w:sz="4" w:space="0" w:color="D8C4A8"/>
              <w:right w:val="single" w:sz="4" w:space="0" w:color="D8C4A8"/>
            </w:tcBorders>
            <w:vAlign w:val="center"/>
          </w:tcPr>
          <w:p>
            <w:r>
              <w:rPr>
                <w:b/>
                <w:color w:val="B15F2A"/>
              </w:rPr>
              <w:t>First line</w:t>
            </w:r>
          </w:p>
        </w:tc>
        <w:tc>
          <w:tcPr>
            <w:tcW w:type="dxa" w:w="5184"/>
            <w:tcBorders>
              <w:top w:val="single" w:sz="4" w:space="0" w:color="D8C4A8"/>
              <w:left w:val="single" w:sz="4" w:space="0" w:color="D8C4A8"/>
              <w:bottom w:val="single" w:sz="4" w:space="0" w:color="D8C4A8"/>
              <w:right w:val="single" w:sz="4" w:space="0" w:color="D8C4A8"/>
            </w:tcBorders>
            <w:vAlign w:val="center"/>
          </w:tcPr>
          <w:p>
            <w:r>
              <w:t>I can hear my Savior calling</w:t>
            </w:r>
          </w:p>
        </w:tc>
      </w:tr>
      <w:tr>
        <w:tc>
          <w:tcPr>
            <w:tcW w:type="dxa" w:w="5184"/>
            <w:shd w:fill="F1E1CC"/>
            <w:tcBorders>
              <w:top w:val="single" w:sz="4" w:space="0" w:color="D8C4A8"/>
              <w:left w:val="single" w:sz="4" w:space="0" w:color="D8C4A8"/>
              <w:bottom w:val="single" w:sz="4" w:space="0" w:color="D8C4A8"/>
              <w:right w:val="single" w:sz="4" w:space="0" w:color="D8C4A8"/>
            </w:tcBorders>
            <w:vAlign w:val="center"/>
          </w:tcPr>
          <w:p>
            <w:r>
              <w:rPr>
                <w:b/>
                <w:color w:val="B15F2A"/>
              </w:rPr>
              <w:t>Words</w:t>
            </w:r>
          </w:p>
        </w:tc>
        <w:tc>
          <w:tcPr>
            <w:tcW w:type="dxa" w:w="5184"/>
            <w:tcBorders>
              <w:top w:val="single" w:sz="4" w:space="0" w:color="D8C4A8"/>
              <w:left w:val="single" w:sz="4" w:space="0" w:color="D8C4A8"/>
              <w:bottom w:val="single" w:sz="4" w:space="0" w:color="D8C4A8"/>
              <w:right w:val="single" w:sz="4" w:space="0" w:color="D8C4A8"/>
            </w:tcBorders>
            <w:vAlign w:val="center"/>
          </w:tcPr>
          <w:p>
            <w:r>
              <w:t>William Ernest Blandy (often listed as E. W. or Ernest W. Blandy)</w:t>
            </w:r>
          </w:p>
        </w:tc>
      </w:tr>
      <w:tr>
        <w:tc>
          <w:tcPr>
            <w:tcW w:type="dxa" w:w="5184"/>
            <w:shd w:fill="F1E1CC"/>
            <w:tcBorders>
              <w:top w:val="single" w:sz="4" w:space="0" w:color="D8C4A8"/>
              <w:left w:val="single" w:sz="4" w:space="0" w:color="D8C4A8"/>
              <w:bottom w:val="single" w:sz="4" w:space="0" w:color="D8C4A8"/>
              <w:right w:val="single" w:sz="4" w:space="0" w:color="D8C4A8"/>
            </w:tcBorders>
            <w:vAlign w:val="center"/>
          </w:tcPr>
          <w:p>
            <w:r>
              <w:rPr>
                <w:b/>
                <w:color w:val="B15F2A"/>
              </w:rPr>
              <w:t>Tune</w:t>
            </w:r>
          </w:p>
        </w:tc>
        <w:tc>
          <w:tcPr>
            <w:tcW w:type="dxa" w:w="5184"/>
            <w:tcBorders>
              <w:top w:val="single" w:sz="4" w:space="0" w:color="D8C4A8"/>
              <w:left w:val="single" w:sz="4" w:space="0" w:color="D8C4A8"/>
              <w:bottom w:val="single" w:sz="4" w:space="0" w:color="D8C4A8"/>
              <w:right w:val="single" w:sz="4" w:space="0" w:color="D8C4A8"/>
            </w:tcBorders>
            <w:vAlign w:val="center"/>
          </w:tcPr>
          <w:p>
            <w:r>
              <w:t>NORRIS, associated with John Samuel Norris</w:t>
            </w:r>
          </w:p>
        </w:tc>
      </w:tr>
      <w:tr>
        <w:tc>
          <w:tcPr>
            <w:tcW w:type="dxa" w:w="5184"/>
            <w:shd w:fill="F1E1CC"/>
            <w:tcBorders>
              <w:top w:val="single" w:sz="4" w:space="0" w:color="D8C4A8"/>
              <w:left w:val="single" w:sz="4" w:space="0" w:color="D8C4A8"/>
              <w:bottom w:val="single" w:sz="4" w:space="0" w:color="D8C4A8"/>
              <w:right w:val="single" w:sz="4" w:space="0" w:color="D8C4A8"/>
            </w:tcBorders>
            <w:vAlign w:val="center"/>
          </w:tcPr>
          <w:p>
            <w:r>
              <w:rPr>
                <w:b/>
                <w:color w:val="B15F2A"/>
              </w:rPr>
              <w:t>Common date</w:t>
            </w:r>
          </w:p>
        </w:tc>
        <w:tc>
          <w:tcPr>
            <w:tcW w:type="dxa" w:w="5184"/>
            <w:tcBorders>
              <w:top w:val="single" w:sz="4" w:space="0" w:color="D8C4A8"/>
              <w:left w:val="single" w:sz="4" w:space="0" w:color="D8C4A8"/>
              <w:bottom w:val="single" w:sz="4" w:space="0" w:color="D8C4A8"/>
              <w:right w:val="single" w:sz="4" w:space="0" w:color="D8C4A8"/>
            </w:tcBorders>
            <w:vAlign w:val="center"/>
          </w:tcPr>
          <w:p>
            <w:r>
              <w:t>1890</w:t>
            </w:r>
          </w:p>
        </w:tc>
      </w:tr>
      <w:tr>
        <w:tc>
          <w:tcPr>
            <w:tcW w:type="dxa" w:w="5184"/>
            <w:shd w:fill="F1E1CC"/>
            <w:tcBorders>
              <w:top w:val="single" w:sz="4" w:space="0" w:color="D8C4A8"/>
              <w:left w:val="single" w:sz="4" w:space="0" w:color="D8C4A8"/>
              <w:bottom w:val="single" w:sz="4" w:space="0" w:color="D8C4A8"/>
              <w:right w:val="single" w:sz="4" w:space="0" w:color="D8C4A8"/>
            </w:tcBorders>
            <w:vAlign w:val="center"/>
          </w:tcPr>
          <w:p>
            <w:r>
              <w:rPr>
                <w:b/>
                <w:color w:val="B15F2A"/>
              </w:rPr>
              <w:t>Core themes</w:t>
            </w:r>
          </w:p>
        </w:tc>
        <w:tc>
          <w:tcPr>
            <w:tcW w:type="dxa" w:w="5184"/>
            <w:tcBorders>
              <w:top w:val="single" w:sz="4" w:space="0" w:color="D8C4A8"/>
              <w:left w:val="single" w:sz="4" w:space="0" w:color="D8C4A8"/>
              <w:bottom w:val="single" w:sz="4" w:space="0" w:color="D8C4A8"/>
              <w:right w:val="single" w:sz="4" w:space="0" w:color="D8C4A8"/>
            </w:tcBorders>
            <w:vAlign w:val="center"/>
          </w:tcPr>
          <w:p>
            <w:r>
              <w:t>Faith, obedience, discipleship, mission, assurance, commitment, following Christ</w:t>
            </w:r>
          </w:p>
        </w:tc>
      </w:tr>
    </w:tbl>
    <w:p/>
    <w:p>
      <w:pPr>
        <w:pStyle w:val="Heading1"/>
      </w:pPr>
      <w:r>
        <w:t>Opening Scripture</w:t>
      </w:r>
    </w:p>
    <w:p>
      <w:r>
        <w:rPr>
          <w:b/>
        </w:rPr>
        <w:t xml:space="preserve">Mark 8:34: </w:t>
      </w:r>
      <w:r>
        <w:t>He called the multitude to himself with his disciples, and said to them, "Whoever wants to come after me, let him deny himself, and take up his cross, and follow me."</w:t>
      </w:r>
    </w:p>
    <w:p>
      <w:r>
        <w:rPr>
          <w:b/>
        </w:rPr>
        <w:t xml:space="preserve">John 10:27: </w:t>
      </w:r>
      <w:r>
        <w:t>My sheep hear my voice, and I know them, and they follow me.</w:t>
      </w:r>
    </w:p>
    <w:p>
      <w:r>
        <w:rPr>
          <w:b/>
        </w:rPr>
        <w:t xml:space="preserve">Romans 12:1: </w:t>
      </w:r>
      <w:r>
        <w:t>Therefore I urge you, brothers, by the mercies of God, to present your bodies a living sacrifice, holy, acceptable to God, which is your spiritual service.</w:t>
      </w:r>
    </w:p>
    <w:p>
      <w:pPr>
        <w:pStyle w:val="Heading1"/>
      </w:pPr>
      <w:r>
        <w:t>Hymn Story in Brief</w:t>
      </w:r>
    </w:p>
    <w:p>
      <w:r>
        <w:t>Where He Leads Me is a classic gospel hymn of surrender and discipleship. It arose in the late nineteenth-century gospel song tradition, where short, refrain-centered songs were widely used in evangelistic meetings, Sunday schools, and services of invitation and consecration.</w:t>
      </w:r>
    </w:p>
    <w:p>
      <w:r>
        <w:t>The hymn is usually dated to 1890 and is attributed to William Ernest Blandy. The tune most commonly associated with it is NORRIS, linked with John Samuel Norris. A popular story connects Blandy with choosing difficult mission work over comfort, but this account should be presented cautiously because early documentation is not clear. The secure teaching point is that the hymn faithfully expresses the biblical call to follow Christ.</w:t>
      </w:r>
    </w:p>
    <w:tbl>
      <w:tblPr>
        <w:tblW w:type="auto" w:w="0"/>
        <w:jc w:val="center"/>
        <w:tblLook w:firstColumn="1" w:firstRow="1" w:lastColumn="0" w:lastRow="0" w:noHBand="0" w:noVBand="1" w:val="04A0"/>
      </w:tblPr>
      <w:tblGrid>
        <w:gridCol w:w="10368"/>
      </w:tblGrid>
      <w:tr>
        <w:tc>
          <w:tcPr>
            <w:tcW w:type="dxa" w:w="10368"/>
            <w:shd w:fill="F7F1E8"/>
            <w:tcBorders>
              <w:top w:val="single" w:sz="4" w:space="0" w:color="D8C4A8"/>
              <w:left w:val="single" w:sz="4" w:space="0" w:color="D8C4A8"/>
              <w:bottom w:val="single" w:sz="4" w:space="0" w:color="D8C4A8"/>
              <w:right w:val="single" w:sz="4" w:space="0" w:color="D8C4A8"/>
            </w:tcBorders>
          </w:tcPr>
          <w:p>
            <w:r>
              <w:rPr>
                <w:b/>
                <w:color w:val="B15F2A"/>
              </w:rPr>
              <w:t>Key idea</w:t>
            </w:r>
            <w:r>
              <w:br/>
              <w:t>The refrain is a prayer of surrender: “Where he leads me I will follow… I’ll go with him, with him all the way.”</w:t>
            </w:r>
          </w:p>
        </w:tc>
      </w:tr>
    </w:tbl>
    <w:p/>
    <w:p>
      <w:pPr>
        <w:pStyle w:val="Heading1"/>
      </w:pPr>
      <w:r>
        <w:t>Verse-by-Verse Guide</w:t>
      </w:r>
    </w:p>
    <w:tbl>
      <w:tblPr>
        <w:tblW w:type="auto" w:w="0"/>
        <w:tblLook w:firstColumn="1" w:firstRow="1" w:lastColumn="0" w:lastRow="0" w:noHBand="0" w:noVBand="1" w:val="04A0"/>
      </w:tblPr>
      <w:tblGrid>
        <w:gridCol w:w="3456"/>
        <w:gridCol w:w="3456"/>
        <w:gridCol w:w="3456"/>
      </w:tblGrid>
      <w:tr>
        <w:tc>
          <w:tcPr>
            <w:tcW w:type="dxa" w:w="3456"/>
            <w:shd w:fill="F1E1CC"/>
            <w:tcBorders>
              <w:top w:val="single" w:sz="4" w:space="0" w:color="D8C4A8"/>
              <w:left w:val="single" w:sz="4" w:space="0" w:color="D8C4A8"/>
              <w:bottom w:val="single" w:sz="4" w:space="0" w:color="D8C4A8"/>
              <w:right w:val="single" w:sz="4" w:space="0" w:color="D8C4A8"/>
            </w:tcBorders>
          </w:tcPr>
          <w:p>
            <w:r>
              <w:rPr>
                <w:b/>
              </w:rPr>
              <w:t>Section</w:t>
            </w:r>
          </w:p>
        </w:tc>
        <w:tc>
          <w:tcPr>
            <w:tcW w:type="dxa" w:w="3456"/>
            <w:shd w:fill="F1E1CC"/>
            <w:tcBorders>
              <w:top w:val="single" w:sz="4" w:space="0" w:color="D8C4A8"/>
              <w:left w:val="single" w:sz="4" w:space="0" w:color="D8C4A8"/>
              <w:bottom w:val="single" w:sz="4" w:space="0" w:color="D8C4A8"/>
              <w:right w:val="single" w:sz="4" w:space="0" w:color="D8C4A8"/>
            </w:tcBorders>
          </w:tcPr>
          <w:p>
            <w:r>
              <w:rPr>
                <w:b/>
              </w:rPr>
              <w:t>Theme</w:t>
            </w:r>
          </w:p>
        </w:tc>
        <w:tc>
          <w:tcPr>
            <w:tcW w:type="dxa" w:w="3456"/>
            <w:shd w:fill="F1E1CC"/>
            <w:tcBorders>
              <w:top w:val="single" w:sz="4" w:space="0" w:color="D8C4A8"/>
              <w:left w:val="single" w:sz="4" w:space="0" w:color="D8C4A8"/>
              <w:bottom w:val="single" w:sz="4" w:space="0" w:color="D8C4A8"/>
              <w:right w:val="single" w:sz="4" w:space="0" w:color="D8C4A8"/>
            </w:tcBorders>
          </w:tcPr>
          <w:p>
            <w:r>
              <w:rPr>
                <w:b/>
              </w:rPr>
              <w:t>Meaning for discipleship</w:t>
            </w:r>
          </w:p>
        </w:tc>
      </w:tr>
      <w:tr>
        <w:tc>
          <w:tcPr>
            <w:tcW w:type="dxa" w:w="3456"/>
            <w:tcBorders>
              <w:top w:val="single" w:sz="4" w:space="0" w:color="D8C4A8"/>
              <w:left w:val="single" w:sz="4" w:space="0" w:color="D8C4A8"/>
              <w:bottom w:val="single" w:sz="4" w:space="0" w:color="D8C4A8"/>
              <w:right w:val="single" w:sz="4" w:space="0" w:color="D8C4A8"/>
            </w:tcBorders>
          </w:tcPr>
          <w:p>
            <w:r>
              <w:t>Verse 1</w:t>
            </w:r>
          </w:p>
        </w:tc>
        <w:tc>
          <w:tcPr>
            <w:tcW w:type="dxa" w:w="3456"/>
            <w:tcBorders>
              <w:top w:val="single" w:sz="4" w:space="0" w:color="D8C4A8"/>
              <w:left w:val="single" w:sz="4" w:space="0" w:color="D8C4A8"/>
              <w:bottom w:val="single" w:sz="4" w:space="0" w:color="D8C4A8"/>
              <w:right w:val="single" w:sz="4" w:space="0" w:color="D8C4A8"/>
            </w:tcBorders>
          </w:tcPr>
          <w:p>
            <w:r>
              <w:t>Hearing Christ’s call</w:t>
            </w:r>
          </w:p>
        </w:tc>
        <w:tc>
          <w:tcPr>
            <w:tcW w:type="dxa" w:w="3456"/>
            <w:tcBorders>
              <w:top w:val="single" w:sz="4" w:space="0" w:color="D8C4A8"/>
              <w:left w:val="single" w:sz="4" w:space="0" w:color="D8C4A8"/>
              <w:bottom w:val="single" w:sz="4" w:space="0" w:color="D8C4A8"/>
              <w:right w:val="single" w:sz="4" w:space="0" w:color="D8C4A8"/>
            </w:tcBorders>
          </w:tcPr>
          <w:p>
            <w:r>
              <w:t>Discipleship begins with listening to the Savior’s voice and responding to his call to take up the cross.</w:t>
            </w:r>
          </w:p>
        </w:tc>
      </w:tr>
      <w:tr>
        <w:tc>
          <w:tcPr>
            <w:tcW w:type="dxa" w:w="3456"/>
            <w:tcBorders>
              <w:top w:val="single" w:sz="4" w:space="0" w:color="D8C4A8"/>
              <w:left w:val="single" w:sz="4" w:space="0" w:color="D8C4A8"/>
              <w:bottom w:val="single" w:sz="4" w:space="0" w:color="D8C4A8"/>
              <w:right w:val="single" w:sz="4" w:space="0" w:color="D8C4A8"/>
            </w:tcBorders>
          </w:tcPr>
          <w:p>
            <w:r>
              <w:t>Refrain</w:t>
            </w:r>
          </w:p>
        </w:tc>
        <w:tc>
          <w:tcPr>
            <w:tcW w:type="dxa" w:w="3456"/>
            <w:tcBorders>
              <w:top w:val="single" w:sz="4" w:space="0" w:color="D8C4A8"/>
              <w:left w:val="single" w:sz="4" w:space="0" w:color="D8C4A8"/>
              <w:bottom w:val="single" w:sz="4" w:space="0" w:color="D8C4A8"/>
              <w:right w:val="single" w:sz="4" w:space="0" w:color="D8C4A8"/>
            </w:tcBorders>
          </w:tcPr>
          <w:p>
            <w:r>
              <w:t>Wholehearted response</w:t>
            </w:r>
          </w:p>
        </w:tc>
        <w:tc>
          <w:tcPr>
            <w:tcW w:type="dxa" w:w="3456"/>
            <w:tcBorders>
              <w:top w:val="single" w:sz="4" w:space="0" w:color="D8C4A8"/>
              <w:left w:val="single" w:sz="4" w:space="0" w:color="D8C4A8"/>
              <w:bottom w:val="single" w:sz="4" w:space="0" w:color="D8C4A8"/>
              <w:right w:val="single" w:sz="4" w:space="0" w:color="D8C4A8"/>
            </w:tcBorders>
          </w:tcPr>
          <w:p>
            <w:r>
              <w:t>The believer promises to follow Christ wherever he leads, not only where the path is comfortable.</w:t>
            </w:r>
          </w:p>
        </w:tc>
      </w:tr>
      <w:tr>
        <w:tc>
          <w:tcPr>
            <w:tcW w:type="dxa" w:w="3456"/>
            <w:tcBorders>
              <w:top w:val="single" w:sz="4" w:space="0" w:color="D8C4A8"/>
              <w:left w:val="single" w:sz="4" w:space="0" w:color="D8C4A8"/>
              <w:bottom w:val="single" w:sz="4" w:space="0" w:color="D8C4A8"/>
              <w:right w:val="single" w:sz="4" w:space="0" w:color="D8C4A8"/>
            </w:tcBorders>
          </w:tcPr>
          <w:p>
            <w:r>
              <w:t>Verse 2</w:t>
            </w:r>
          </w:p>
        </w:tc>
        <w:tc>
          <w:tcPr>
            <w:tcW w:type="dxa" w:w="3456"/>
            <w:tcBorders>
              <w:top w:val="single" w:sz="4" w:space="0" w:color="D8C4A8"/>
              <w:left w:val="single" w:sz="4" w:space="0" w:color="D8C4A8"/>
              <w:bottom w:val="single" w:sz="4" w:space="0" w:color="D8C4A8"/>
              <w:right w:val="single" w:sz="4" w:space="0" w:color="D8C4A8"/>
            </w:tcBorders>
          </w:tcPr>
          <w:p>
            <w:r>
              <w:t>Through the garden</w:t>
            </w:r>
          </w:p>
        </w:tc>
        <w:tc>
          <w:tcPr>
            <w:tcW w:type="dxa" w:w="3456"/>
            <w:tcBorders>
              <w:top w:val="single" w:sz="4" w:space="0" w:color="D8C4A8"/>
              <w:left w:val="single" w:sz="4" w:space="0" w:color="D8C4A8"/>
              <w:bottom w:val="single" w:sz="4" w:space="0" w:color="D8C4A8"/>
              <w:right w:val="single" w:sz="4" w:space="0" w:color="D8C4A8"/>
            </w:tcBorders>
          </w:tcPr>
          <w:p>
            <w:r>
              <w:t>The garden points to prayer, surrender, sorrow, and costly obedience in the way of Christ.</w:t>
            </w:r>
          </w:p>
        </w:tc>
      </w:tr>
      <w:tr>
        <w:tc>
          <w:tcPr>
            <w:tcW w:type="dxa" w:w="3456"/>
            <w:tcBorders>
              <w:top w:val="single" w:sz="4" w:space="0" w:color="D8C4A8"/>
              <w:left w:val="single" w:sz="4" w:space="0" w:color="D8C4A8"/>
              <w:bottom w:val="single" w:sz="4" w:space="0" w:color="D8C4A8"/>
              <w:right w:val="single" w:sz="4" w:space="0" w:color="D8C4A8"/>
            </w:tcBorders>
          </w:tcPr>
          <w:p>
            <w:r>
              <w:t>Verse 3</w:t>
            </w:r>
          </w:p>
        </w:tc>
        <w:tc>
          <w:tcPr>
            <w:tcW w:type="dxa" w:w="3456"/>
            <w:tcBorders>
              <w:top w:val="single" w:sz="4" w:space="0" w:color="D8C4A8"/>
              <w:left w:val="single" w:sz="4" w:space="0" w:color="D8C4A8"/>
              <w:bottom w:val="single" w:sz="4" w:space="0" w:color="D8C4A8"/>
              <w:right w:val="single" w:sz="4" w:space="0" w:color="D8C4A8"/>
            </w:tcBorders>
          </w:tcPr>
          <w:p>
            <w:r>
              <w:t>Through the judgment</w:t>
            </w:r>
          </w:p>
        </w:tc>
        <w:tc>
          <w:tcPr>
            <w:tcW w:type="dxa" w:w="3456"/>
            <w:tcBorders>
              <w:top w:val="single" w:sz="4" w:space="0" w:color="D8C4A8"/>
              <w:left w:val="single" w:sz="4" w:space="0" w:color="D8C4A8"/>
              <w:bottom w:val="single" w:sz="4" w:space="0" w:color="D8C4A8"/>
              <w:right w:val="single" w:sz="4" w:space="0" w:color="D8C4A8"/>
            </w:tcBorders>
          </w:tcPr>
          <w:p>
            <w:r>
              <w:t>Faithfulness may include testing, public witness, and perseverance under pressure.</w:t>
            </w:r>
          </w:p>
        </w:tc>
      </w:tr>
      <w:tr>
        <w:tc>
          <w:tcPr>
            <w:tcW w:type="dxa" w:w="3456"/>
            <w:tcBorders>
              <w:top w:val="single" w:sz="4" w:space="0" w:color="D8C4A8"/>
              <w:left w:val="single" w:sz="4" w:space="0" w:color="D8C4A8"/>
              <w:bottom w:val="single" w:sz="4" w:space="0" w:color="D8C4A8"/>
              <w:right w:val="single" w:sz="4" w:space="0" w:color="D8C4A8"/>
            </w:tcBorders>
          </w:tcPr>
          <w:p>
            <w:r>
              <w:t>Verse 4</w:t>
            </w:r>
          </w:p>
        </w:tc>
        <w:tc>
          <w:tcPr>
            <w:tcW w:type="dxa" w:w="3456"/>
            <w:tcBorders>
              <w:top w:val="single" w:sz="4" w:space="0" w:color="D8C4A8"/>
              <w:left w:val="single" w:sz="4" w:space="0" w:color="D8C4A8"/>
              <w:bottom w:val="single" w:sz="4" w:space="0" w:color="D8C4A8"/>
              <w:right w:val="single" w:sz="4" w:space="0" w:color="D8C4A8"/>
            </w:tcBorders>
          </w:tcPr>
          <w:p>
            <w:r>
              <w:t>Grace and glory</w:t>
            </w:r>
          </w:p>
        </w:tc>
        <w:tc>
          <w:tcPr>
            <w:tcW w:type="dxa" w:w="3456"/>
            <w:tcBorders>
              <w:top w:val="single" w:sz="4" w:space="0" w:color="D8C4A8"/>
              <w:left w:val="single" w:sz="4" w:space="0" w:color="D8C4A8"/>
              <w:bottom w:val="single" w:sz="4" w:space="0" w:color="D8C4A8"/>
              <w:right w:val="single" w:sz="4" w:space="0" w:color="D8C4A8"/>
            </w:tcBorders>
          </w:tcPr>
          <w:p>
            <w:r>
              <w:t>The hymn ends with Christ’s sustaining presence and promised grace, not merely human resolve.</w:t>
            </w:r>
          </w:p>
        </w:tc>
      </w:tr>
    </w:tbl>
    <w:p/>
    <w:p>
      <w:pPr>
        <w:pStyle w:val="Heading1"/>
      </w:pPr>
      <w:r>
        <w:t>Discussion Questions</w:t>
      </w:r>
    </w:p>
    <w:p>
      <w:pPr>
        <w:pStyle w:val="ListNumber"/>
      </w:pPr>
      <w:r>
        <w:t>What does it mean to hear Christ’s call in today’s world?</w:t>
      </w:r>
    </w:p>
    <w:p>
      <w:pPr>
        <w:pStyle w:val="ListNumber"/>
      </w:pPr>
      <w:r>
        <w:t>Which line of the hymn is most challenging or comforting to you right now?</w:t>
      </w:r>
    </w:p>
    <w:p>
      <w:pPr>
        <w:pStyle w:val="ListNumber"/>
      </w:pPr>
      <w:r>
        <w:t>Why does following Christ include both joy and suffering?</w:t>
      </w:r>
    </w:p>
    <w:p>
      <w:pPr>
        <w:pStyle w:val="ListNumber"/>
      </w:pPr>
      <w:r>
        <w:t>How does the refrain express the essence of Christian discipleship?</w:t>
      </w:r>
    </w:p>
    <w:p>
      <w:pPr>
        <w:pStyle w:val="ListNumber"/>
      </w:pPr>
      <w:r>
        <w:t>What might it look like for our group or church to follow Christ more faithfully together?</w:t>
      </w:r>
    </w:p>
    <w:p>
      <w:pPr>
        <w:pStyle w:val="ListNumber"/>
      </w:pPr>
      <w:r>
        <w:t>How should we handle inspiring hymn stories that are meaningful but not fully documented?</w:t>
      </w:r>
    </w:p>
    <w:p>
      <w:pPr>
        <w:pStyle w:val="Heading1"/>
      </w:pPr>
      <w:r>
        <w:t>Personal Response</w:t>
      </w:r>
    </w:p>
    <w:p>
      <w:r>
        <w:t>Complete this prayer in your own words:</w:t>
      </w:r>
    </w:p>
    <w:tbl>
      <w:tblPr>
        <w:tblW w:type="auto" w:w="0"/>
        <w:jc w:val="center"/>
        <w:tblLook w:firstColumn="1" w:firstRow="1" w:lastColumn="0" w:lastRow="0" w:noHBand="0" w:noVBand="1" w:val="04A0"/>
      </w:tblPr>
      <w:tblGrid>
        <w:gridCol w:w="10368"/>
      </w:tblGrid>
      <w:tr>
        <w:tc>
          <w:tcPr>
            <w:tcW w:type="dxa" w:w="10368"/>
            <w:shd w:fill="F7F1E8"/>
            <w:tcBorders>
              <w:top w:val="single" w:sz="4" w:space="0" w:color="D8C4A8"/>
              <w:left w:val="single" w:sz="4" w:space="0" w:color="D8C4A8"/>
              <w:bottom w:val="single" w:sz="4" w:space="0" w:color="D8C4A8"/>
              <w:right w:val="single" w:sz="4" w:space="0" w:color="D8C4A8"/>
            </w:tcBorders>
          </w:tcPr>
          <w:p>
            <w:r>
              <w:rPr>
                <w:b/>
                <w:color w:val="B15F2A"/>
              </w:rPr>
              <w:t>Prayer prompt</w:t>
            </w:r>
            <w:r>
              <w:br/>
              <w:t>Lord Jesus, I hear you calling me to ____________________. Give me grace to follow you by ____________________.</w:t>
            </w:r>
          </w:p>
        </w:tc>
      </w:tr>
    </w:tbl>
    <w:p/>
    <w:p>
      <w:pPr>
        <w:pStyle w:val="Heading1"/>
      </w:pPr>
      <w:r>
        <w:t>Closing Refrain</w:t>
      </w:r>
    </w:p>
    <w:p>
      <w:r>
        <w:t>Where he leads me I will follow,</w:t>
        <w:br/>
        <w:t>Where he leads me I will follow,</w:t>
        <w:br/>
        <w:t>Where he leads me I will follow,</w:t>
        <w:br/>
        <w:t>I’ll go with him, with him all the way.</w:t>
      </w:r>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6B625C"/>
        <w:sz w:val="16"/>
      </w:rPr>
      <w:t>Prepared from the provided HymnInfo JSON study data.</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B625C"/>
        <w:sz w:val="16"/>
      </w:rPr>
      <w:t>Where He Leads Me  |  hymninfo.com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8293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18293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1829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18293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