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4B3524"/>
          <w:sz w:val="44"/>
        </w:rPr>
        <w:t>Jesus, Where'er Thy People Meet</w:t>
      </w:r>
    </w:p>
    <w:p>
      <w:pPr>
        <w:spacing w:after="200"/>
        <w:jc w:val="center"/>
      </w:pPr>
      <w:r>
        <w:rPr>
          <w:rFonts w:ascii="Aptos" w:hAnsi="Aptos"/>
          <w:b/>
          <w:color w:val="A57930"/>
          <w:sz w:val="23"/>
        </w:rPr>
        <w:t>Small Group Handout</w:t>
      </w:r>
    </w:p>
    <w:tbl>
      <w:tblPr>
        <w:tblW w:type="auto" w:w="0"/>
        <w:jc w:val="center"/>
        <w:tblLayout w:type="autofit"/>
        <w:tblLook w:firstColumn="1" w:firstRow="1" w:lastColumn="0" w:lastRow="0" w:noHBand="0" w:noVBand="1" w:val="04A0"/>
      </w:tblPr>
      <w:tblGrid>
        <w:gridCol w:w="10368"/>
      </w:tblGrid>
      <w:tr>
        <w:tc>
          <w:tcPr>
            <w:tcW w:type="dxa" w:w="9504"/>
            <w:shd w:fill="D7BA70"/>
          </w:tcPr>
          <w:p>
            <w:r/>
          </w:p>
        </w:tc>
      </w:tr>
    </w:tbl>
    <w:p/>
    <w:p>
      <w:pPr>
        <w:pStyle w:val="Heading1"/>
        <w:spacing w:before="80" w:after="80"/>
      </w:pPr>
      <w:r>
        <w:t>Purpose of This Study</w:t>
      </w:r>
    </w:p>
    <w:p>
      <w:pPr>
        <w:spacing w:after="80" w:line="252" w:lineRule="auto"/>
      </w:pPr>
      <w:r>
        <w:rPr>
          <w:rFonts w:ascii="Aptos" w:hAnsi="Aptos"/>
          <w:i w:val="0"/>
          <w:color w:val="231F1C"/>
          <w:sz w:val="20"/>
        </w:rPr>
        <w:t>This study helps a group reflect on Christ's promised presence among his gathered people and respond with humbler, more expectant worship.</w:t>
      </w:r>
    </w:p>
    <w:p>
      <w:pPr>
        <w:pStyle w:val="Heading1"/>
        <w:spacing w:before="80" w:after="80"/>
      </w:pPr>
      <w:r>
        <w:t>Opening Reflection</w:t>
      </w:r>
    </w:p>
    <w:p>
      <w:pPr>
        <w:pStyle w:val="ListBullet"/>
        <w:spacing w:after="40"/>
        <w:ind w:left="346"/>
      </w:pPr>
      <w:r>
        <w:rPr>
          <w:rFonts w:ascii="Aptos" w:hAnsi="Aptos"/>
          <w:color w:val="231F1C"/>
          <w:sz w:val="20"/>
        </w:rPr>
        <w:t>When have you sensed that a simple gathering became spiritually meaningful?</w:t>
      </w:r>
    </w:p>
    <w:p>
      <w:pPr>
        <w:pStyle w:val="ListBullet"/>
        <w:spacing w:after="40"/>
        <w:ind w:left="346"/>
      </w:pPr>
      <w:r>
        <w:rPr>
          <w:rFonts w:ascii="Aptos" w:hAnsi="Aptos"/>
          <w:color w:val="231F1C"/>
          <w:sz w:val="20"/>
        </w:rPr>
        <w:t>What helps you arrive at worship with expectation rather than routine?</w:t>
      </w:r>
    </w:p>
    <w:p>
      <w:pPr>
        <w:pStyle w:val="ListBullet"/>
        <w:spacing w:after="40"/>
        <w:ind w:left="346"/>
      </w:pPr>
      <w:r>
        <w:rPr>
          <w:rFonts w:ascii="Aptos" w:hAnsi="Aptos"/>
          <w:color w:val="231F1C"/>
          <w:sz w:val="20"/>
        </w:rPr>
        <w:t>How does it encourage you to know that Christ is near even when the gathering is small?</w:t>
      </w:r>
    </w:p>
    <w:p>
      <w:pPr>
        <w:pStyle w:val="Heading1"/>
        <w:spacing w:before="80" w:after="80"/>
      </w:pPr>
      <w:r>
        <w:t>Brief Hymn Background</w:t>
      </w:r>
    </w:p>
    <w:p>
      <w:pPr>
        <w:spacing w:after="80" w:line="252" w:lineRule="auto"/>
      </w:pPr>
      <w:r>
        <w:rPr>
          <w:rFonts w:ascii="Aptos" w:hAnsi="Aptos"/>
          <w:i w:val="0"/>
          <w:color w:val="231F1C"/>
          <w:sz w:val="20"/>
        </w:rPr>
        <w:t>William Cowper wrote this hymn in 1769 for the opening of a room for social prayer in Olney. It later appeared in Olney Hymns, the collection associated with Cowper and John Newton. The hymn is commonly sung to WARRINGTON, composed by Ralph Harrison, and uses Long Meter (8.8.8.8).</w:t>
      </w:r>
    </w:p>
    <w:p>
      <w:pPr>
        <w:pStyle w:val="Heading1"/>
        <w:spacing w:before="80" w:after="80"/>
      </w:pPr>
      <w:r>
        <w:t>Primary Scripture</w:t>
      </w:r>
    </w:p>
    <w:p>
      <w:pPr>
        <w:spacing w:after="80" w:line="252" w:lineRule="auto"/>
      </w:pPr>
      <w:r>
        <w:rPr>
          <w:rFonts w:ascii="Aptos" w:hAnsi="Aptos"/>
          <w:i w:val="0"/>
          <w:color w:val="231F1C"/>
          <w:sz w:val="20"/>
        </w:rPr>
        <w:t>Matthew 18:20 - "For where two or three are gathered together in my name, there I am in the midst of them."</w:t>
      </w:r>
    </w:p>
    <w:p>
      <w:pPr>
        <w:pStyle w:val="Heading2"/>
        <w:spacing w:before="100" w:after="40"/>
      </w:pPr>
      <w:r>
        <w:t>Supporting Scriptures</w:t>
      </w:r>
    </w:p>
    <w:p>
      <w:pPr>
        <w:pStyle w:val="ListBullet"/>
        <w:spacing w:after="40"/>
        <w:ind w:left="346"/>
      </w:pPr>
      <w:r>
        <w:rPr>
          <w:rFonts w:ascii="Aptos" w:hAnsi="Aptos"/>
          <w:color w:val="231F1C"/>
          <w:sz w:val="20"/>
        </w:rPr>
        <w:t>Psalm 84:1-2 - longing for the dwelling place of the Lord.</w:t>
      </w:r>
    </w:p>
    <w:p>
      <w:pPr>
        <w:pStyle w:val="ListBullet"/>
        <w:spacing w:after="40"/>
        <w:ind w:left="346"/>
      </w:pPr>
      <w:r>
        <w:rPr>
          <w:rFonts w:ascii="Aptos" w:hAnsi="Aptos"/>
          <w:color w:val="231F1C"/>
          <w:sz w:val="20"/>
        </w:rPr>
        <w:t>John 4:23-24 - worship in spirit and truth.</w:t>
      </w:r>
    </w:p>
    <w:p>
      <w:pPr>
        <w:pStyle w:val="ListBullet"/>
        <w:spacing w:after="40"/>
        <w:ind w:left="346"/>
      </w:pPr>
      <w:r>
        <w:rPr>
          <w:rFonts w:ascii="Aptos" w:hAnsi="Aptos"/>
          <w:color w:val="231F1C"/>
          <w:sz w:val="20"/>
        </w:rPr>
        <w:t>Ephesians 2:19-22 - the church as God's dwelling by the Spirit.</w:t>
      </w:r>
    </w:p>
    <w:p>
      <w:pPr>
        <w:pStyle w:val="ListBullet"/>
        <w:spacing w:after="40"/>
        <w:ind w:left="346"/>
      </w:pPr>
      <w:r>
        <w:rPr>
          <w:rFonts w:ascii="Aptos" w:hAnsi="Aptos"/>
          <w:color w:val="231F1C"/>
          <w:sz w:val="20"/>
        </w:rPr>
        <w:t>Hebrews 10:24-25 - gathering to encourage one another in love and good works.</w:t>
      </w:r>
    </w:p>
    <w:p>
      <w:pPr>
        <w:pStyle w:val="Heading1"/>
        <w:spacing w:before="80" w:after="80"/>
      </w:pPr>
      <w:r>
        <w:t>Stanza-by-Stanza Study</w:t>
      </w:r>
    </w:p>
    <w:p>
      <w:pPr>
        <w:pStyle w:val="Heading2"/>
        <w:spacing w:before="100" w:after="40"/>
      </w:pPr>
      <w:r>
        <w:t>Stanza 1</w:t>
      </w:r>
    </w:p>
    <w:p>
      <w:pPr>
        <w:spacing w:after="80" w:line="252" w:lineRule="auto"/>
      </w:pPr>
      <w:r>
        <w:rPr>
          <w:rFonts w:ascii="Aptos" w:hAnsi="Aptos"/>
          <w:i w:val="0"/>
          <w:color w:val="231F1C"/>
          <w:sz w:val="20"/>
        </w:rPr>
        <w:t>Christ is present wherever his people seek him. Worship becomes holy because the Lord meets his people there.</w:t>
      </w:r>
    </w:p>
    <w:p>
      <w:pPr>
        <w:pStyle w:val="Heading2"/>
        <w:spacing w:before="100" w:after="40"/>
      </w:pPr>
      <w:r>
        <w:t>Stanza 2</w:t>
      </w:r>
    </w:p>
    <w:p>
      <w:pPr>
        <w:spacing w:after="80" w:line="252" w:lineRule="auto"/>
      </w:pPr>
      <w:r>
        <w:rPr>
          <w:rFonts w:ascii="Aptos" w:hAnsi="Aptos"/>
          <w:i w:val="0"/>
          <w:color w:val="231F1C"/>
          <w:sz w:val="20"/>
        </w:rPr>
        <w:t>God is not confined to walls. The humble carry the presence of Christ from the gathered meeting into daily life.</w:t>
      </w:r>
    </w:p>
    <w:p>
      <w:pPr>
        <w:pStyle w:val="Heading2"/>
        <w:spacing w:before="100" w:after="40"/>
      </w:pPr>
      <w:r>
        <w:t>Stanza 3</w:t>
      </w:r>
    </w:p>
    <w:p>
      <w:pPr>
        <w:spacing w:after="80" w:line="252" w:lineRule="auto"/>
      </w:pPr>
      <w:r>
        <w:rPr>
          <w:rFonts w:ascii="Aptos" w:hAnsi="Aptos"/>
          <w:i w:val="0"/>
          <w:color w:val="231F1C"/>
          <w:sz w:val="20"/>
        </w:rPr>
        <w:t>The church asks the Shepherd to renew former mercies and speak the sweetness of his saving name to waiting hearts.</w:t>
      </w:r>
    </w:p>
    <w:p>
      <w:pPr>
        <w:pStyle w:val="Heading2"/>
        <w:spacing w:before="100" w:after="40"/>
      </w:pPr>
      <w:r>
        <w:t>Stanza 4</w:t>
      </w:r>
    </w:p>
    <w:p>
      <w:pPr>
        <w:spacing w:after="80" w:line="252" w:lineRule="auto"/>
      </w:pPr>
      <w:r>
        <w:rPr>
          <w:rFonts w:ascii="Aptos" w:hAnsi="Aptos"/>
          <w:i w:val="0"/>
          <w:color w:val="231F1C"/>
          <w:sz w:val="20"/>
        </w:rPr>
        <w:t>Prayer strengthens faith and sweetens care. Worship lifts faint desires toward heaven and renewed hope.</w:t>
      </w:r>
    </w:p>
    <w:p>
      <w:pPr>
        <w:pStyle w:val="Heading2"/>
        <w:spacing w:before="100" w:after="40"/>
      </w:pPr>
      <w:r>
        <w:t>Stanza 5</w:t>
      </w:r>
    </w:p>
    <w:p>
      <w:pPr>
        <w:spacing w:after="80" w:line="252" w:lineRule="auto"/>
      </w:pPr>
      <w:r>
        <w:rPr>
          <w:rFonts w:ascii="Aptos" w:hAnsi="Aptos"/>
          <w:i w:val="0"/>
          <w:color w:val="231F1C"/>
          <w:sz w:val="20"/>
        </w:rPr>
        <w:t>Even a small gathering can wait with confidence because the Lord is near, powerful, and attentive to prayer.</w:t>
      </w:r>
    </w:p>
    <w:p>
      <w:pPr>
        <w:pStyle w:val="Heading1"/>
        <w:spacing w:before="80" w:after="80"/>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EFE2C4"/>
          </w:tcPr>
          <w:p>
            <w:pPr>
              <w:spacing w:after="40"/>
            </w:pPr>
            <w:r/>
            <w:r>
              <w:rPr>
                <w:rFonts w:ascii="Aptos" w:hAnsi="Aptos"/>
                <w:b/>
                <w:color w:val="231F1C"/>
                <w:sz w:val="19"/>
              </w:rPr>
              <w:t>Hymn Theme</w:t>
            </w:r>
          </w:p>
        </w:tc>
        <w:tc>
          <w:tcPr>
            <w:tcW w:type="dxa" w:w="3456"/>
            <w:shd w:fill="EFE2C4"/>
          </w:tcPr>
          <w:p>
            <w:pPr>
              <w:spacing w:after="40"/>
            </w:pPr>
            <w:r/>
            <w:r>
              <w:rPr>
                <w:rFonts w:ascii="Aptos" w:hAnsi="Aptos"/>
                <w:b/>
                <w:color w:val="231F1C"/>
                <w:sz w:val="19"/>
              </w:rPr>
              <w:t>Scripture Connection</w:t>
            </w:r>
          </w:p>
        </w:tc>
        <w:tc>
          <w:tcPr>
            <w:tcW w:type="dxa" w:w="3456"/>
            <w:shd w:fill="EFE2C4"/>
          </w:tcPr>
          <w:p>
            <w:pPr>
              <w:spacing w:after="40"/>
            </w:pPr>
            <w:r/>
            <w:r>
              <w:rPr>
                <w:rFonts w:ascii="Aptos" w:hAnsi="Aptos"/>
                <w:b/>
                <w:color w:val="231F1C"/>
                <w:sz w:val="19"/>
              </w:rPr>
              <w:t>Discussion Prompt</w:t>
            </w:r>
          </w:p>
        </w:tc>
      </w:tr>
      <w:tr>
        <w:tc>
          <w:tcPr>
            <w:tcW w:type="dxa" w:w="3456"/>
          </w:tcPr>
          <w:p>
            <w:pPr>
              <w:spacing w:after="40"/>
            </w:pPr>
            <w:r/>
            <w:r>
              <w:rPr>
                <w:rFonts w:ascii="Aptos" w:hAnsi="Aptos"/>
                <w:b w:val="0"/>
                <w:color w:val="231F1C"/>
                <w:sz w:val="19"/>
              </w:rPr>
              <w:t>Christ present</w:t>
            </w:r>
          </w:p>
        </w:tc>
        <w:tc>
          <w:tcPr>
            <w:tcW w:type="dxa" w:w="3456"/>
          </w:tcPr>
          <w:p>
            <w:pPr>
              <w:spacing w:after="40"/>
            </w:pPr>
            <w:r/>
            <w:r>
              <w:rPr>
                <w:rFonts w:ascii="Aptos" w:hAnsi="Aptos"/>
                <w:b w:val="0"/>
                <w:color w:val="231F1C"/>
                <w:sz w:val="19"/>
              </w:rPr>
              <w:t>Matthew 18:20</w:t>
            </w:r>
          </w:p>
        </w:tc>
        <w:tc>
          <w:tcPr>
            <w:tcW w:type="dxa" w:w="3456"/>
          </w:tcPr>
          <w:p>
            <w:pPr>
              <w:spacing w:after="40"/>
            </w:pPr>
            <w:r/>
            <w:r>
              <w:rPr>
                <w:rFonts w:ascii="Aptos" w:hAnsi="Aptos"/>
                <w:b w:val="0"/>
                <w:color w:val="231F1C"/>
                <w:sz w:val="19"/>
              </w:rPr>
              <w:t>How should this promise shape the way we gather?</w:t>
            </w:r>
          </w:p>
        </w:tc>
      </w:tr>
      <w:tr>
        <w:tc>
          <w:tcPr>
            <w:tcW w:type="dxa" w:w="3456"/>
          </w:tcPr>
          <w:p>
            <w:pPr>
              <w:spacing w:after="40"/>
            </w:pPr>
            <w:r/>
            <w:r>
              <w:rPr>
                <w:rFonts w:ascii="Aptos" w:hAnsi="Aptos"/>
                <w:b w:val="0"/>
                <w:color w:val="231F1C"/>
                <w:sz w:val="19"/>
              </w:rPr>
              <w:t>Holy ground</w:t>
            </w:r>
          </w:p>
        </w:tc>
        <w:tc>
          <w:tcPr>
            <w:tcW w:type="dxa" w:w="3456"/>
          </w:tcPr>
          <w:p>
            <w:pPr>
              <w:spacing w:after="40"/>
            </w:pPr>
            <w:r/>
            <w:r>
              <w:rPr>
                <w:rFonts w:ascii="Aptos" w:hAnsi="Aptos"/>
                <w:b w:val="0"/>
                <w:color w:val="231F1C"/>
                <w:sz w:val="19"/>
              </w:rPr>
              <w:t>Psalm 84:1-2</w:t>
            </w:r>
          </w:p>
        </w:tc>
        <w:tc>
          <w:tcPr>
            <w:tcW w:type="dxa" w:w="3456"/>
          </w:tcPr>
          <w:p>
            <w:pPr>
              <w:spacing w:after="40"/>
            </w:pPr>
            <w:r/>
            <w:r>
              <w:rPr>
                <w:rFonts w:ascii="Aptos" w:hAnsi="Aptos"/>
                <w:b w:val="0"/>
                <w:color w:val="231F1C"/>
                <w:sz w:val="19"/>
              </w:rPr>
              <w:t>What makes a place spiritually meaningful?</w:t>
            </w:r>
          </w:p>
        </w:tc>
      </w:tr>
      <w:tr>
        <w:tc>
          <w:tcPr>
            <w:tcW w:type="dxa" w:w="3456"/>
          </w:tcPr>
          <w:p>
            <w:pPr>
              <w:spacing w:after="40"/>
            </w:pPr>
            <w:r/>
            <w:r>
              <w:rPr>
                <w:rFonts w:ascii="Aptos" w:hAnsi="Aptos"/>
                <w:b w:val="0"/>
                <w:color w:val="231F1C"/>
                <w:sz w:val="19"/>
              </w:rPr>
              <w:t>Humility</w:t>
            </w:r>
          </w:p>
        </w:tc>
        <w:tc>
          <w:tcPr>
            <w:tcW w:type="dxa" w:w="3456"/>
          </w:tcPr>
          <w:p>
            <w:pPr>
              <w:spacing w:after="40"/>
            </w:pPr>
            <w:r/>
            <w:r>
              <w:rPr>
                <w:rFonts w:ascii="Aptos" w:hAnsi="Aptos"/>
                <w:b w:val="0"/>
                <w:color w:val="231F1C"/>
                <w:sz w:val="19"/>
              </w:rPr>
              <w:t>John 4:23-24</w:t>
            </w:r>
          </w:p>
        </w:tc>
        <w:tc>
          <w:tcPr>
            <w:tcW w:type="dxa" w:w="3456"/>
          </w:tcPr>
          <w:p>
            <w:pPr>
              <w:spacing w:after="40"/>
            </w:pPr>
            <w:r/>
            <w:r>
              <w:rPr>
                <w:rFonts w:ascii="Aptos" w:hAnsi="Aptos"/>
                <w:b w:val="0"/>
                <w:color w:val="231F1C"/>
                <w:sz w:val="19"/>
              </w:rPr>
              <w:t>What posture belongs to true worship?</w:t>
            </w:r>
          </w:p>
        </w:tc>
      </w:tr>
      <w:tr>
        <w:tc>
          <w:tcPr>
            <w:tcW w:type="dxa" w:w="3456"/>
          </w:tcPr>
          <w:p>
            <w:pPr>
              <w:spacing w:after="40"/>
            </w:pPr>
            <w:r/>
            <w:r>
              <w:rPr>
                <w:rFonts w:ascii="Aptos" w:hAnsi="Aptos"/>
                <w:b w:val="0"/>
                <w:color w:val="231F1C"/>
                <w:sz w:val="19"/>
              </w:rPr>
              <w:t>The church as dwelling</w:t>
            </w:r>
          </w:p>
        </w:tc>
        <w:tc>
          <w:tcPr>
            <w:tcW w:type="dxa" w:w="3456"/>
          </w:tcPr>
          <w:p>
            <w:pPr>
              <w:spacing w:after="40"/>
            </w:pPr>
            <w:r/>
            <w:r>
              <w:rPr>
                <w:rFonts w:ascii="Aptos" w:hAnsi="Aptos"/>
                <w:b w:val="0"/>
                <w:color w:val="231F1C"/>
                <w:sz w:val="19"/>
              </w:rPr>
              <w:t>Ephesians 2:19-22</w:t>
            </w:r>
          </w:p>
        </w:tc>
        <w:tc>
          <w:tcPr>
            <w:tcW w:type="dxa" w:w="3456"/>
          </w:tcPr>
          <w:p>
            <w:pPr>
              <w:spacing w:after="40"/>
            </w:pPr>
            <w:r/>
            <w:r>
              <w:rPr>
                <w:rFonts w:ascii="Aptos" w:hAnsi="Aptos"/>
                <w:b w:val="0"/>
                <w:color w:val="231F1C"/>
                <w:sz w:val="19"/>
              </w:rPr>
              <w:t>How does this change our view of ordinary church life?</w:t>
            </w:r>
          </w:p>
        </w:tc>
      </w:tr>
      <w:tr>
        <w:tc>
          <w:tcPr>
            <w:tcW w:type="dxa" w:w="3456"/>
          </w:tcPr>
          <w:p>
            <w:pPr>
              <w:spacing w:after="40"/>
            </w:pPr>
            <w:r/>
            <w:r>
              <w:rPr>
                <w:rFonts w:ascii="Aptos" w:hAnsi="Aptos"/>
                <w:b w:val="0"/>
                <w:color w:val="231F1C"/>
                <w:sz w:val="19"/>
              </w:rPr>
              <w:t>Encouragement</w:t>
            </w:r>
          </w:p>
        </w:tc>
        <w:tc>
          <w:tcPr>
            <w:tcW w:type="dxa" w:w="3456"/>
          </w:tcPr>
          <w:p>
            <w:pPr>
              <w:spacing w:after="40"/>
            </w:pPr>
            <w:r/>
            <w:r>
              <w:rPr>
                <w:rFonts w:ascii="Aptos" w:hAnsi="Aptos"/>
                <w:b w:val="0"/>
                <w:color w:val="231F1C"/>
                <w:sz w:val="19"/>
              </w:rPr>
              <w:t>Hebrews 10:24-25</w:t>
            </w:r>
          </w:p>
        </w:tc>
        <w:tc>
          <w:tcPr>
            <w:tcW w:type="dxa" w:w="3456"/>
          </w:tcPr>
          <w:p>
            <w:pPr>
              <w:spacing w:after="40"/>
            </w:pPr>
            <w:r/>
            <w:r>
              <w:rPr>
                <w:rFonts w:ascii="Aptos" w:hAnsi="Aptos"/>
                <w:b w:val="0"/>
                <w:color w:val="231F1C"/>
                <w:sz w:val="19"/>
              </w:rPr>
              <w:t>Who needs your encouragement this week?</w:t>
            </w:r>
          </w:p>
        </w:tc>
      </w:tr>
    </w:tbl>
    <w:p>
      <w:pPr>
        <w:pStyle w:val="Heading1"/>
        <w:spacing w:before="80" w:after="80"/>
      </w:pPr>
      <w:r>
        <w:t>Discussion Questions</w:t>
      </w:r>
    </w:p>
    <w:p>
      <w:pPr>
        <w:pStyle w:val="ListNumber"/>
        <w:spacing w:after="40"/>
        <w:ind w:left="346"/>
      </w:pPr>
      <w:r>
        <w:rPr>
          <w:rFonts w:ascii="Aptos" w:hAnsi="Aptos"/>
          <w:color w:val="231F1C"/>
          <w:sz w:val="20"/>
        </w:rPr>
        <w:t>What is the central promise of the hymn?</w:t>
      </w:r>
    </w:p>
    <w:p>
      <w:pPr>
        <w:pStyle w:val="ListNumber"/>
        <w:spacing w:after="40"/>
        <w:ind w:left="346"/>
      </w:pPr>
      <w:r>
        <w:rPr>
          <w:rFonts w:ascii="Aptos" w:hAnsi="Aptos"/>
          <w:color w:val="231F1C"/>
          <w:sz w:val="20"/>
        </w:rPr>
        <w:t>How does the hymn challenge a narrow view of sacred space?</w:t>
      </w:r>
    </w:p>
    <w:p>
      <w:pPr>
        <w:pStyle w:val="ListNumber"/>
        <w:spacing w:after="40"/>
        <w:ind w:left="346"/>
      </w:pPr>
      <w:r>
        <w:rPr>
          <w:rFonts w:ascii="Aptos" w:hAnsi="Aptos"/>
          <w:color w:val="231F1C"/>
          <w:sz w:val="20"/>
        </w:rPr>
        <w:t>Why does the hymn connect Christ's presence with humility?</w:t>
      </w:r>
    </w:p>
    <w:p>
      <w:pPr>
        <w:pStyle w:val="ListNumber"/>
        <w:spacing w:after="40"/>
        <w:ind w:left="346"/>
      </w:pPr>
      <w:r>
        <w:rPr>
          <w:rFonts w:ascii="Aptos" w:hAnsi="Aptos"/>
          <w:color w:val="231F1C"/>
          <w:sz w:val="20"/>
        </w:rPr>
        <w:t>Which supporting Scripture most deepens your understanding of the hymn?</w:t>
      </w:r>
    </w:p>
    <w:p>
      <w:pPr>
        <w:pStyle w:val="ListNumber"/>
        <w:spacing w:after="40"/>
        <w:ind w:left="346"/>
      </w:pPr>
      <w:r>
        <w:rPr>
          <w:rFonts w:ascii="Aptos" w:hAnsi="Aptos"/>
          <w:color w:val="231F1C"/>
          <w:sz w:val="20"/>
        </w:rPr>
        <w:t>How can prayer both strengthen faith and sweeten care?</w:t>
      </w:r>
    </w:p>
    <w:p>
      <w:pPr>
        <w:pStyle w:val="ListNumber"/>
        <w:spacing w:after="40"/>
        <w:ind w:left="346"/>
      </w:pPr>
      <w:r>
        <w:rPr>
          <w:rFonts w:ascii="Aptos" w:hAnsi="Aptos"/>
          <w:color w:val="231F1C"/>
          <w:sz w:val="20"/>
        </w:rPr>
        <w:t>What former mercies can your group remember together?</w:t>
      </w:r>
    </w:p>
    <w:p>
      <w:pPr>
        <w:pStyle w:val="ListNumber"/>
        <w:spacing w:after="40"/>
        <w:ind w:left="346"/>
      </w:pPr>
      <w:r>
        <w:rPr>
          <w:rFonts w:ascii="Aptos" w:hAnsi="Aptos"/>
          <w:color w:val="231F1C"/>
          <w:sz w:val="20"/>
        </w:rPr>
        <w:t>How can a small church or small group be encouraged by the final stanza?</w:t>
      </w:r>
    </w:p>
    <w:p>
      <w:pPr>
        <w:pStyle w:val="ListNumber"/>
        <w:spacing w:after="40"/>
        <w:ind w:left="346"/>
      </w:pPr>
      <w:r>
        <w:rPr>
          <w:rFonts w:ascii="Aptos" w:hAnsi="Aptos"/>
          <w:color w:val="231F1C"/>
          <w:sz w:val="20"/>
        </w:rPr>
        <w:t>What would change if you consciously carried Christ's presence home after worship?</w:t>
      </w:r>
    </w:p>
    <w:p>
      <w:pPr>
        <w:pStyle w:val="Heading1"/>
        <w:spacing w:before="80" w:after="80"/>
      </w:pPr>
      <w:r>
        <w:t>Practice This Week</w:t>
      </w:r>
    </w:p>
    <w:p>
      <w:pPr>
        <w:pStyle w:val="ListBullet"/>
        <w:spacing w:after="40"/>
        <w:ind w:left="346"/>
      </w:pPr>
      <w:r>
        <w:rPr>
          <w:rFonts w:ascii="Aptos" w:hAnsi="Aptos"/>
          <w:color w:val="231F1C"/>
          <w:sz w:val="20"/>
        </w:rPr>
        <w:t>Before the next worship service, pray Matthew 18:20 slowly and personally.</w:t>
      </w:r>
    </w:p>
    <w:p>
      <w:pPr>
        <w:pStyle w:val="ListBullet"/>
        <w:spacing w:after="40"/>
        <w:ind w:left="346"/>
      </w:pPr>
      <w:r>
        <w:rPr>
          <w:rFonts w:ascii="Aptos" w:hAnsi="Aptos"/>
          <w:color w:val="231F1C"/>
          <w:sz w:val="20"/>
        </w:rPr>
        <w:t>Encourage one believer who feels unnoticed or weary.</w:t>
      </w:r>
    </w:p>
    <w:p>
      <w:pPr>
        <w:pStyle w:val="ListBullet"/>
        <w:spacing w:after="40"/>
        <w:ind w:left="346"/>
      </w:pPr>
      <w:r>
        <w:rPr>
          <w:rFonts w:ascii="Aptos" w:hAnsi="Aptos"/>
          <w:color w:val="231F1C"/>
          <w:sz w:val="20"/>
        </w:rPr>
        <w:t>Name one care before God and ask him to strengthen faith through prayer.</w:t>
      </w:r>
    </w:p>
    <w:p>
      <w:pPr>
        <w:pStyle w:val="ListBullet"/>
        <w:spacing w:after="40"/>
        <w:ind w:left="346"/>
      </w:pPr>
      <w:r>
        <w:rPr>
          <w:rFonts w:ascii="Aptos" w:hAnsi="Aptos"/>
          <w:color w:val="231F1C"/>
          <w:sz w:val="20"/>
        </w:rPr>
        <w:t>At home, create one brief moment of worshipful attention: Scripture, prayer, or praise.</w:t>
      </w:r>
    </w:p>
    <w:p>
      <w:pPr>
        <w:pStyle w:val="Heading1"/>
        <w:spacing w:before="80" w:after="80"/>
      </w:pPr>
      <w:r>
        <w:t>Optional Leader Notes</w:t>
      </w:r>
    </w:p>
    <w:p>
      <w:pPr>
        <w:spacing w:after="80" w:line="252" w:lineRule="auto"/>
      </w:pPr>
      <w:r>
        <w:rPr>
          <w:rFonts w:ascii="Aptos" w:hAnsi="Aptos"/>
          <w:i w:val="0"/>
          <w:color w:val="231F1C"/>
          <w:sz w:val="20"/>
        </w:rPr>
        <w:t>Guide the group toward Christ's presence rather than nostalgia for a building or style. Encourage honest reflection, especially from those who feel discouraged by small gatherings. Keep the discussion anchored in Scripture and prayer.</w:t>
      </w:r>
    </w:p>
    <w:p>
      <w:pPr>
        <w:pStyle w:val="Heading1"/>
        <w:spacing w:before="80" w:after="80"/>
      </w:pPr>
      <w:r>
        <w:t>Closing Prayer</w:t>
      </w:r>
    </w:p>
    <w:p>
      <w:pPr>
        <w:spacing w:after="80" w:line="252" w:lineRule="auto"/>
      </w:pPr>
      <w:r>
        <w:rPr>
          <w:rFonts w:ascii="Aptos" w:hAnsi="Aptos"/>
          <w:i/>
          <w:color w:val="231F1C"/>
          <w:sz w:val="20"/>
        </w:rPr>
        <w:t>Lord Jesus, meet us as we gather in your name. Make our hearts humble, renew our faith, strengthen us in prayer, and send us home with a deeper awareness of your presence. Amen.</w:t>
      </w:r>
    </w:p>
    <w:p>
      <w:pPr>
        <w:jc w:val="center"/>
      </w:pPr>
      <w:r>
        <w:rPr>
          <w:rFonts w:ascii="Aptos" w:hAnsi="Aptos"/>
          <w:color w:val="735C3A"/>
          <w:sz w:val="16"/>
        </w:rPr>
        <w:t>© HymnInfo.com. Free for personal, church, classroom, and small-group teaching use. Please do not sell, repost, or redistribute as downloadable files without permission.</w:t>
      </w:r>
    </w:p>
    <w:sectPr>
      <w:footerReference w:type="default" r:id="rId9"/>
      <w:pgSz w:w="12240" w:h="15840"/>
      <w:pgMar w:top="792" w:right="936" w:bottom="792" w:left="936" w:header="720" w:footer="720" w:gutter="0"/>
      <w:cols w:space="720"/>
      <w:docGrid w:linePitch="360"/>
      <w:pgBorders w:offsetFrom="page">
        <w:top w:val="single" w:sz="4" w:space="24" w:color="D7BA70"/>
        <w:left w:val="single" w:sz="4" w:space="24" w:color="D7BA70"/>
        <w:bottom w:val="single" w:sz="4" w:space="24" w:color="D7BA70"/>
        <w:right w:val="single" w:sz="4" w:space="24" w:color="D7BA7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735C3A"/>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eastAsia="Georgia"/>
      <w:b/>
      <w:bCs/>
      <w:color w:val="4B3524"/>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eastAsia="Georgia"/>
      <w:b/>
      <w:bCs/>
      <w:color w:val="4B3524"/>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Georgia" w:hAnsi="Georgia" w:eastAsia="Georgia"/>
      <w:b/>
      <w:bCs/>
      <w:color w:val="4B3524"/>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Georgia" w:hAnsi="Georgia" w:eastAsia="Georgia"/>
      <w:color w:val="4B352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Jesus, Where'er Thy People Meet Small Group Handout</dc:title>
  <dc:subject>Hymn study resource</dc:subject>
  <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