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4B2D18"/>
          <w:sz w:val="44"/>
        </w:rPr>
        <w:t>At Calvary</w:t>
      </w:r>
    </w:p>
    <w:p>
      <w:pPr>
        <w:jc w:val="center"/>
      </w:pPr>
      <w:r>
        <w:rPr>
          <w:i/>
          <w:color w:val="64523D"/>
          <w:sz w:val="21"/>
        </w:rPr>
        <w:t>Small Group Handout | Grace, pardon, and liberty at the cross</w:t>
      </w:r>
    </w:p>
    <w:p>
      <w:pPr>
        <w:pStyle w:val="Heading1"/>
      </w:pPr>
      <w:r>
        <w:t>Purpose of the Study</w:t>
      </w:r>
    </w:p>
    <w:p>
      <w:r>
        <w:t>This study helps a group listen to At Calvary as a testimony of grace: the soul moves from pride and guilt to pardon, surrender, and wonder before Christ crucified.</w:t>
      </w:r>
    </w:p>
    <w:p>
      <w:pPr>
        <w:pStyle w:val="Heading1"/>
      </w:pPr>
      <w:r>
        <w:t>Opening Reflection</w:t>
      </w:r>
    </w:p>
    <w:p>
      <w:pPr>
        <w:pStyle w:val="ListBullet"/>
        <w:spacing w:after="40"/>
      </w:pPr>
      <w:r>
        <w:t>When have you felt the difference between carrying guilt alone and bringing it honestly before God?</w:t>
      </w:r>
    </w:p>
    <w:p>
      <w:pPr>
        <w:pStyle w:val="ListBullet"/>
        <w:spacing w:after="40"/>
      </w:pPr>
      <w:r>
        <w:t>What words do people use today to avoid admitting sin, pride, or spiritual need?</w:t>
      </w:r>
    </w:p>
    <w:p>
      <w:pPr>
        <w:pStyle w:val="ListBullet"/>
        <w:spacing w:after="40"/>
      </w:pPr>
      <w:r>
        <w:t>Why is it comforting that the hymn does not begin with our goodness but with God’s mercy?</w:t>
      </w:r>
    </w:p>
    <w:p>
      <w:pPr>
        <w:pStyle w:val="Heading1"/>
      </w:pPr>
      <w:r>
        <w:t>Brief Hymn Background</w:t>
      </w:r>
    </w:p>
    <w:p>
      <w:r>
        <w:t>Words: William Reed Newell. Music: Daniel Brink Towner. Date: 1895. The hymn comes from the late nineteenth-century American gospel song tradition and has long served churches in evangelistic, testimony, Communion, Lent, and Good Friday settings.</w:t>
      </w:r>
    </w:p>
    <w:p>
      <w:r>
        <w:t>Newell was connected with Moody Bible Institute as a Bible teacher and leader, and Towner was a gospel music director and educator. Together, the text and tune give the church a direct song of conviction, pardon, and grateful surrender.</w:t>
      </w:r>
    </w:p>
    <w:p>
      <w:pPr>
        <w:pStyle w:val="Heading1"/>
      </w:pPr>
      <w:r>
        <w:t>Scripture for Study</w:t>
      </w:r>
    </w:p>
    <w:tbl>
      <w:tblPr>
        <w:tblStyle w:val="TableGrid"/>
        <w:tblW w:type="auto" w:w="0"/>
        <w:jc w:val="center"/>
        <w:tblLook w:firstColumn="1" w:firstRow="1" w:lastColumn="0" w:lastRow="0" w:noHBand="0" w:noVBand="1" w:val="04A0"/>
      </w:tblPr>
      <w:tblGrid>
        <w:gridCol w:w="5083"/>
        <w:gridCol w:w="5083"/>
      </w:tblGrid>
      <w:tr>
        <w:tc>
          <w:tcPr>
            <w:tcW w:type="dxa" w:w="5083"/>
            <w:vAlign w:val="top"/>
            <w:shd w:fill="5B3A25"/>
          </w:tcPr>
          <w:p>
            <w:r/>
            <w:r>
              <w:rPr>
                <w:rFonts w:ascii="Aptos" w:hAnsi="Aptos"/>
                <w:b/>
                <w:color w:val="FFFFFF"/>
                <w:sz w:val="19"/>
              </w:rPr>
              <w:t>Passage</w:t>
            </w:r>
          </w:p>
        </w:tc>
        <w:tc>
          <w:tcPr>
            <w:tcW w:type="dxa" w:w="5083"/>
            <w:vAlign w:val="top"/>
            <w:shd w:fill="5B3A25"/>
          </w:tcPr>
          <w:p>
            <w:r/>
            <w:r>
              <w:rPr>
                <w:rFonts w:ascii="Aptos" w:hAnsi="Aptos"/>
                <w:b/>
                <w:color w:val="FFFFFF"/>
                <w:sz w:val="19"/>
              </w:rPr>
              <w:t>Connection to the Hymn</w:t>
            </w:r>
          </w:p>
        </w:tc>
      </w:tr>
      <w:tr>
        <w:tc>
          <w:tcPr>
            <w:tcW w:type="dxa" w:w="5083"/>
            <w:vAlign w:val="top"/>
          </w:tcPr>
          <w:p>
            <w:r/>
            <w:r>
              <w:rPr>
                <w:rFonts w:ascii="Aptos" w:hAnsi="Aptos"/>
                <w:b/>
                <w:color w:val="4A321F"/>
                <w:sz w:val="18"/>
              </w:rPr>
              <w:t>Luke 23:33</w:t>
            </w:r>
          </w:p>
        </w:tc>
        <w:tc>
          <w:tcPr>
            <w:tcW w:type="dxa" w:w="5083"/>
            <w:vAlign w:val="top"/>
          </w:tcPr>
          <w:p>
            <w:r/>
            <w:r>
              <w:rPr>
                <w:rFonts w:ascii="Aptos" w:hAnsi="Aptos"/>
                <w:b w:val="0"/>
                <w:color w:val="333333"/>
                <w:sz w:val="18"/>
              </w:rPr>
              <w:t>The historical place of crucifixion stands behind the hymn’s repeated focus on Calvary.</w:t>
            </w:r>
          </w:p>
        </w:tc>
      </w:tr>
      <w:tr>
        <w:tc>
          <w:tcPr>
            <w:tcW w:type="dxa" w:w="5083"/>
            <w:vAlign w:val="top"/>
          </w:tcPr>
          <w:p>
            <w:r/>
            <w:r>
              <w:rPr>
                <w:rFonts w:ascii="Aptos" w:hAnsi="Aptos"/>
                <w:b/>
                <w:color w:val="4A321F"/>
                <w:sz w:val="18"/>
              </w:rPr>
              <w:t>Romans 5:20-21</w:t>
            </w:r>
          </w:p>
        </w:tc>
        <w:tc>
          <w:tcPr>
            <w:tcW w:type="dxa" w:w="5083"/>
            <w:vAlign w:val="top"/>
          </w:tcPr>
          <w:p>
            <w:r/>
            <w:r>
              <w:rPr>
                <w:rFonts w:ascii="Aptos" w:hAnsi="Aptos"/>
                <w:b w:val="0"/>
                <w:color w:val="333333"/>
                <w:sz w:val="18"/>
              </w:rPr>
              <w:t>Grace is greater than sin and reigns through Jesus Christ.</w:t>
            </w:r>
          </w:p>
        </w:tc>
      </w:tr>
      <w:tr>
        <w:tc>
          <w:tcPr>
            <w:tcW w:type="dxa" w:w="5083"/>
            <w:vAlign w:val="top"/>
          </w:tcPr>
          <w:p>
            <w:r/>
            <w:r>
              <w:rPr>
                <w:rFonts w:ascii="Aptos" w:hAnsi="Aptos"/>
                <w:b/>
                <w:color w:val="4A321F"/>
                <w:sz w:val="18"/>
              </w:rPr>
              <w:t>Galatians 6:14</w:t>
            </w:r>
          </w:p>
        </w:tc>
        <w:tc>
          <w:tcPr>
            <w:tcW w:type="dxa" w:w="5083"/>
            <w:vAlign w:val="top"/>
          </w:tcPr>
          <w:p>
            <w:r/>
            <w:r>
              <w:rPr>
                <w:rFonts w:ascii="Aptos" w:hAnsi="Aptos"/>
                <w:b w:val="0"/>
                <w:color w:val="333333"/>
                <w:sz w:val="18"/>
              </w:rPr>
              <w:t>The believer’s only boast is the cross of our Lord Jesus Christ.</w:t>
            </w:r>
          </w:p>
        </w:tc>
      </w:tr>
      <w:tr>
        <w:tc>
          <w:tcPr>
            <w:tcW w:type="dxa" w:w="5083"/>
            <w:vAlign w:val="top"/>
          </w:tcPr>
          <w:p>
            <w:r/>
            <w:r>
              <w:rPr>
                <w:rFonts w:ascii="Aptos" w:hAnsi="Aptos"/>
                <w:b/>
                <w:color w:val="4A321F"/>
                <w:sz w:val="18"/>
              </w:rPr>
              <w:t>Ephesians 2:8-9</w:t>
            </w:r>
          </w:p>
        </w:tc>
        <w:tc>
          <w:tcPr>
            <w:tcW w:type="dxa" w:w="5083"/>
            <w:vAlign w:val="top"/>
          </w:tcPr>
          <w:p>
            <w:r/>
            <w:r>
              <w:rPr>
                <w:rFonts w:ascii="Aptos" w:hAnsi="Aptos"/>
                <w:b w:val="0"/>
                <w:color w:val="333333"/>
                <w:sz w:val="18"/>
              </w:rPr>
              <w:t>Salvation is God’s gift, not the result of works or boasting.</w:t>
            </w:r>
          </w:p>
        </w:tc>
      </w:tr>
    </w:tbl>
    <w:p>
      <w:pPr>
        <w:pStyle w:val="Heading1"/>
      </w:pPr>
      <w:r>
        <w:t>Hymn Movement</w:t>
      </w:r>
    </w:p>
    <w:p>
      <w:pPr>
        <w:pStyle w:val="Heading2"/>
      </w:pPr>
      <w:r>
        <w:t>Self-reliance before Christ</w:t>
      </w:r>
    </w:p>
    <w:p>
      <w:r>
        <w:t>The hymn remembers a life marked by pride and spiritual blindness. It teaches the group to tell the truth before God.</w:t>
      </w:r>
    </w:p>
    <w:p>
      <w:pPr>
        <w:pStyle w:val="Heading2"/>
      </w:pPr>
      <w:r>
        <w:t>Conviction through God’s Word</w:t>
      </w:r>
    </w:p>
    <w:p>
      <w:r>
        <w:t>Scripture exposes sin and directs the guilty heart toward mercy rather than despair.</w:t>
      </w:r>
    </w:p>
    <w:p>
      <w:pPr>
        <w:pStyle w:val="Heading2"/>
      </w:pPr>
      <w:r>
        <w:t>Pardon and liberty</w:t>
      </w:r>
    </w:p>
    <w:p>
      <w:r>
        <w:t>The refrain gathers the gospel in four words: mercy, grace, pardon, and liberty.</w:t>
      </w:r>
    </w:p>
    <w:p>
      <w:pPr>
        <w:pStyle w:val="Heading2"/>
      </w:pPr>
      <w:r>
        <w:t>Surrender to Christ the King</w:t>
      </w:r>
    </w:p>
    <w:p>
      <w:r>
        <w:t>Forgiveness leads to joyful allegiance, not careless living.</w:t>
      </w:r>
    </w:p>
    <w:p>
      <w:pPr>
        <w:pStyle w:val="Heading2"/>
      </w:pPr>
      <w:r>
        <w:t>Wonder at saving love</w:t>
      </w:r>
    </w:p>
    <w:p>
      <w:r>
        <w:t>The final movement widens into adoration of the love and grace of God.</w:t>
      </w:r>
    </w:p>
    <w:p>
      <w:pPr>
        <w:pStyle w:val="Heading1"/>
      </w:pPr>
      <w:r>
        <w:t>Study Table</w:t>
      </w:r>
    </w:p>
    <w:tbl>
      <w:tblPr>
        <w:tblStyle w:val="TableGrid"/>
        <w:tblW w:type="auto" w:w="0"/>
        <w:jc w:val="center"/>
        <w:tblLook w:firstColumn="1" w:firstRow="1" w:lastColumn="0" w:lastRow="0" w:noHBand="0" w:noVBand="1" w:val="04A0"/>
      </w:tblPr>
      <w:tblGrid>
        <w:gridCol w:w="3389"/>
        <w:gridCol w:w="3389"/>
        <w:gridCol w:w="3389"/>
      </w:tblGrid>
      <w:tr>
        <w:tc>
          <w:tcPr>
            <w:tcW w:type="dxa" w:w="3389"/>
            <w:vAlign w:val="top"/>
            <w:shd w:fill="5B3A25"/>
          </w:tcPr>
          <w:p>
            <w:r/>
            <w:r>
              <w:rPr>
                <w:rFonts w:ascii="Aptos" w:hAnsi="Aptos"/>
                <w:b/>
                <w:color w:val="FFFFFF"/>
                <w:sz w:val="18"/>
              </w:rPr>
              <w:t>Hymn Theme</w:t>
            </w:r>
          </w:p>
        </w:tc>
        <w:tc>
          <w:tcPr>
            <w:tcW w:type="dxa" w:w="3389"/>
            <w:vAlign w:val="top"/>
            <w:shd w:fill="5B3A25"/>
          </w:tcPr>
          <w:p>
            <w:r/>
            <w:r>
              <w:rPr>
                <w:rFonts w:ascii="Aptos" w:hAnsi="Aptos"/>
                <w:b/>
                <w:color w:val="FFFFFF"/>
                <w:sz w:val="18"/>
              </w:rPr>
              <w:t>Scripture Connection</w:t>
            </w:r>
          </w:p>
        </w:tc>
        <w:tc>
          <w:tcPr>
            <w:tcW w:type="dxa" w:w="3389"/>
            <w:vAlign w:val="top"/>
            <w:shd w:fill="5B3A25"/>
          </w:tcPr>
          <w:p>
            <w:r/>
            <w:r>
              <w:rPr>
                <w:rFonts w:ascii="Aptos" w:hAnsi="Aptos"/>
                <w:b/>
                <w:color w:val="FFFFFF"/>
                <w:sz w:val="18"/>
              </w:rPr>
              <w:t>Discussion Prompt</w:t>
            </w:r>
          </w:p>
        </w:tc>
      </w:tr>
      <w:tr>
        <w:tc>
          <w:tcPr>
            <w:tcW w:type="dxa" w:w="3389"/>
            <w:vAlign w:val="top"/>
          </w:tcPr>
          <w:p>
            <w:r/>
            <w:r>
              <w:rPr>
                <w:rFonts w:ascii="Aptos" w:hAnsi="Aptos"/>
                <w:b w:val="0"/>
                <w:color w:val="333333"/>
                <w:sz w:val="17"/>
              </w:rPr>
              <w:t>Pride exposed</w:t>
            </w:r>
          </w:p>
        </w:tc>
        <w:tc>
          <w:tcPr>
            <w:tcW w:type="dxa" w:w="3389"/>
            <w:vAlign w:val="top"/>
          </w:tcPr>
          <w:p>
            <w:r/>
            <w:r>
              <w:rPr>
                <w:rFonts w:ascii="Aptos" w:hAnsi="Aptos"/>
                <w:b w:val="0"/>
                <w:color w:val="333333"/>
                <w:sz w:val="17"/>
              </w:rPr>
              <w:t>Ephesians 2:8-9</w:t>
            </w:r>
          </w:p>
        </w:tc>
        <w:tc>
          <w:tcPr>
            <w:tcW w:type="dxa" w:w="3389"/>
            <w:vAlign w:val="top"/>
          </w:tcPr>
          <w:p>
            <w:r/>
            <w:r>
              <w:rPr>
                <w:rFonts w:ascii="Aptos" w:hAnsi="Aptos"/>
                <w:b w:val="0"/>
                <w:color w:val="333333"/>
                <w:sz w:val="17"/>
              </w:rPr>
              <w:t>Where do we still try to make ourselves acceptable to God?</w:t>
            </w:r>
          </w:p>
        </w:tc>
      </w:tr>
      <w:tr>
        <w:tc>
          <w:tcPr>
            <w:tcW w:type="dxa" w:w="3389"/>
            <w:vAlign w:val="top"/>
          </w:tcPr>
          <w:p>
            <w:r/>
            <w:r>
              <w:rPr>
                <w:rFonts w:ascii="Aptos" w:hAnsi="Aptos"/>
                <w:b w:val="0"/>
                <w:color w:val="333333"/>
                <w:sz w:val="17"/>
              </w:rPr>
              <w:t>Grace abounding</w:t>
            </w:r>
          </w:p>
        </w:tc>
        <w:tc>
          <w:tcPr>
            <w:tcW w:type="dxa" w:w="3389"/>
            <w:vAlign w:val="top"/>
          </w:tcPr>
          <w:p>
            <w:r/>
            <w:r>
              <w:rPr>
                <w:rFonts w:ascii="Aptos" w:hAnsi="Aptos"/>
                <w:b w:val="0"/>
                <w:color w:val="333333"/>
                <w:sz w:val="17"/>
              </w:rPr>
              <w:t>Romans 5:20-21</w:t>
            </w:r>
          </w:p>
        </w:tc>
        <w:tc>
          <w:tcPr>
            <w:tcW w:type="dxa" w:w="3389"/>
            <w:vAlign w:val="top"/>
          </w:tcPr>
          <w:p>
            <w:r/>
            <w:r>
              <w:rPr>
                <w:rFonts w:ascii="Aptos" w:hAnsi="Aptos"/>
                <w:b w:val="0"/>
                <w:color w:val="333333"/>
                <w:sz w:val="17"/>
              </w:rPr>
              <w:t>How does grace answer both guilt and fear?</w:t>
            </w:r>
          </w:p>
        </w:tc>
      </w:tr>
      <w:tr>
        <w:tc>
          <w:tcPr>
            <w:tcW w:type="dxa" w:w="3389"/>
            <w:vAlign w:val="top"/>
          </w:tcPr>
          <w:p>
            <w:r/>
            <w:r>
              <w:rPr>
                <w:rFonts w:ascii="Aptos" w:hAnsi="Aptos"/>
                <w:b w:val="0"/>
                <w:color w:val="333333"/>
                <w:sz w:val="17"/>
              </w:rPr>
              <w:t>Boasting in the cross</w:t>
            </w:r>
          </w:p>
        </w:tc>
        <w:tc>
          <w:tcPr>
            <w:tcW w:type="dxa" w:w="3389"/>
            <w:vAlign w:val="top"/>
          </w:tcPr>
          <w:p>
            <w:r/>
            <w:r>
              <w:rPr>
                <w:rFonts w:ascii="Aptos" w:hAnsi="Aptos"/>
                <w:b w:val="0"/>
                <w:color w:val="333333"/>
                <w:sz w:val="17"/>
              </w:rPr>
              <w:t>Galatians 6:14</w:t>
            </w:r>
          </w:p>
        </w:tc>
        <w:tc>
          <w:tcPr>
            <w:tcW w:type="dxa" w:w="3389"/>
            <w:vAlign w:val="top"/>
          </w:tcPr>
          <w:p>
            <w:r/>
            <w:r>
              <w:rPr>
                <w:rFonts w:ascii="Aptos" w:hAnsi="Aptos"/>
                <w:b w:val="0"/>
                <w:color w:val="333333"/>
                <w:sz w:val="17"/>
              </w:rPr>
              <w:t>What would change if our only boast were Christ crucified?</w:t>
            </w:r>
          </w:p>
        </w:tc>
      </w:tr>
      <w:tr>
        <w:tc>
          <w:tcPr>
            <w:tcW w:type="dxa" w:w="3389"/>
            <w:vAlign w:val="top"/>
          </w:tcPr>
          <w:p>
            <w:r/>
            <w:r>
              <w:rPr>
                <w:rFonts w:ascii="Aptos" w:hAnsi="Aptos"/>
                <w:b w:val="0"/>
                <w:color w:val="333333"/>
                <w:sz w:val="17"/>
              </w:rPr>
              <w:t>Liberty received</w:t>
            </w:r>
          </w:p>
        </w:tc>
        <w:tc>
          <w:tcPr>
            <w:tcW w:type="dxa" w:w="3389"/>
            <w:vAlign w:val="top"/>
          </w:tcPr>
          <w:p>
            <w:r/>
            <w:r>
              <w:rPr>
                <w:rFonts w:ascii="Aptos" w:hAnsi="Aptos"/>
                <w:b w:val="0"/>
                <w:color w:val="333333"/>
                <w:sz w:val="17"/>
              </w:rPr>
              <w:t>Luke 23:33</w:t>
            </w:r>
          </w:p>
        </w:tc>
        <w:tc>
          <w:tcPr>
            <w:tcW w:type="dxa" w:w="3389"/>
            <w:vAlign w:val="top"/>
          </w:tcPr>
          <w:p>
            <w:r/>
            <w:r>
              <w:rPr>
                <w:rFonts w:ascii="Aptos" w:hAnsi="Aptos"/>
                <w:b w:val="0"/>
                <w:color w:val="333333"/>
                <w:sz w:val="17"/>
              </w:rPr>
              <w:t>What burden does the cross remove from the believer?</w:t>
            </w:r>
          </w:p>
        </w:tc>
      </w:tr>
    </w:tbl>
    <w:p>
      <w:pPr>
        <w:pStyle w:val="Heading1"/>
      </w:pPr>
      <w:r>
        <w:t>Discussion Questions</w:t>
      </w:r>
    </w:p>
    <w:p>
      <w:pPr>
        <w:pStyle w:val="ListNumber"/>
        <w:spacing w:after="40"/>
      </w:pPr>
      <w:r>
        <w:t>What is the difference between being embarrassed by sin and being convicted by God’s Word?</w:t>
      </w:r>
    </w:p>
    <w:p>
      <w:pPr>
        <w:pStyle w:val="ListNumber"/>
        <w:spacing w:after="40"/>
      </w:pPr>
      <w:r>
        <w:t>How does the hymn keep grace from becoming cheap or careless?</w:t>
      </w:r>
    </w:p>
    <w:p>
      <w:pPr>
        <w:pStyle w:val="ListNumber"/>
        <w:spacing w:after="40"/>
      </w:pPr>
      <w:r>
        <w:t>Why does the refrain sound so confident about pardon?</w:t>
      </w:r>
    </w:p>
    <w:p>
      <w:pPr>
        <w:pStyle w:val="ListNumber"/>
        <w:spacing w:after="40"/>
      </w:pPr>
      <w:r>
        <w:t>What does it mean to own Christ as King in ordinary life?</w:t>
      </w:r>
    </w:p>
    <w:p>
      <w:pPr>
        <w:pStyle w:val="ListNumber"/>
        <w:spacing w:after="40"/>
      </w:pPr>
      <w:r>
        <w:t>Where do believers today most need the liberty described in the hymn?</w:t>
      </w:r>
    </w:p>
    <w:p>
      <w:pPr>
        <w:pStyle w:val="ListNumber"/>
        <w:spacing w:after="40"/>
      </w:pPr>
      <w:r>
        <w:t>How can a church sing this hymn as testimony rather than nostalgia?</w:t>
      </w:r>
    </w:p>
    <w:p>
      <w:pPr>
        <w:pStyle w:val="ListNumber"/>
        <w:spacing w:after="40"/>
      </w:pPr>
      <w:r>
        <w:t>What part of the hymn best helps you pray this week?</w:t>
      </w:r>
    </w:p>
    <w:p>
      <w:pPr>
        <w:pStyle w:val="Heading1"/>
      </w:pPr>
      <w:r>
        <w:t>Practice This Week</w:t>
      </w:r>
    </w:p>
    <w:p>
      <w:pPr>
        <w:pStyle w:val="ListBullet"/>
        <w:spacing w:after="40"/>
      </w:pPr>
      <w:r>
        <w:t>Read Romans 5:20-21 each morning and thank God for grace that is greater than sin.</w:t>
      </w:r>
    </w:p>
    <w:p>
      <w:pPr>
        <w:pStyle w:val="ListBullet"/>
        <w:spacing w:after="40"/>
      </w:pPr>
      <w:r>
        <w:t>Name one burden of guilt or pride in prayer and bring it directly to Christ.</w:t>
      </w:r>
    </w:p>
    <w:p>
      <w:pPr>
        <w:pStyle w:val="ListBullet"/>
        <w:spacing w:after="40"/>
      </w:pPr>
      <w:r>
        <w:t>Write a short testimony paragraph beginning with “At Calvary, Christ met me with…”</w:t>
      </w:r>
    </w:p>
    <w:p>
      <w:pPr>
        <w:pStyle w:val="ListBullet"/>
        <w:spacing w:after="40"/>
      </w:pPr>
      <w:r>
        <w:t>Encourage one person with the gospel truth that pardon is God’s gift in Christ.</w:t>
      </w:r>
    </w:p>
    <w:p>
      <w:pPr>
        <w:pStyle w:val="Heading1"/>
      </w:pPr>
      <w:r>
        <w:t>Leader Notes</w:t>
      </w:r>
    </w:p>
    <w:p>
      <w:r>
        <w:t>Keep the discussion anchored in grace. Let people speak honestly about guilt, but do not let the group end there. The hymn moves toward pardon, surrender, and wonder. When appropriate, read Ephesians 2:8-9 aloud before the closing prayer.</w:t>
      </w:r>
    </w:p>
    <w:p>
      <w:pPr>
        <w:pStyle w:val="Heading1"/>
      </w:pPr>
      <w:r>
        <w:t>Closing Prayer</w:t>
      </w:r>
    </w:p>
    <w:p>
      <w:r>
        <w:t>Lord Jesus, bring us to the cross with honest hearts. Teach us to stop defending ourselves and to receive mercy with gratitude. Let your grace free us, your pardon steady us, and your love send us into obedient worship. Amen.</w:t>
      </w:r>
    </w:p>
    <w:p>
      <w:pPr>
        <w:jc w:val="center"/>
      </w:pPr>
      <w:r>
        <w:rPr>
          <w:color w:val="60584E"/>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5A50"/>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59361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7E512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412A1A"/>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