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color w:val="071E39"/>
          <w:sz w:val="44"/>
        </w:rPr>
        <w:t>THE SPACIOUS FIRMAMENT ON HIGH</w:t>
      </w:r>
    </w:p>
    <w:p>
      <w:pPr>
        <w:jc w:val="center"/>
      </w:pPr>
      <w:r>
        <w:rPr>
          <w:rFonts w:ascii="Georgia" w:hAnsi="Georgia"/>
          <w:i/>
          <w:color w:val="9A6F26"/>
          <w:sz w:val="24"/>
        </w:rPr>
        <w:t>Small Group Handout</w:t>
      </w:r>
    </w:p>
    <w:p>
      <w:pPr>
        <w:jc w:val="center"/>
      </w:pPr>
      <w:r>
        <w:rPr>
          <w:color w:val="4B5563"/>
          <w:sz w:val="20"/>
        </w:rPr>
        <w:t>Creation, Wonder, and the Glory of God</w:t>
      </w:r>
    </w:p>
    <w:tbl>
      <w:tblPr>
        <w:tblW w:type="auto" w:w="0"/>
        <w:jc w:val="center"/>
        <w:tblLook w:firstColumn="1" w:firstRow="1" w:lastColumn="0" w:lastRow="0" w:noHBand="0" w:noVBand="1" w:val="04A0"/>
      </w:tblPr>
      <w:tblGrid>
        <w:gridCol w:w="10368"/>
      </w:tblGrid>
      <w:tr>
        <w:tc>
          <w:tcPr>
            <w:tcW w:type="dxa" w:w="10368"/>
            <w:shd w:fill="F7F2E8"/>
            <w:tcBorders>
              <w:top w:sz="6" w:val="single" w:color="D0B278"/>
              <w:left w:sz="6" w:val="single" w:color="D0B278"/>
              <w:bottom w:sz="6" w:val="single" w:color="D0B278"/>
              <w:right w:sz="6" w:val="single" w:color="D0B278"/>
            </w:tcBorders>
          </w:tcPr>
          <w:p>
            <w:pPr>
              <w:jc w:val="center"/>
            </w:pPr>
            <w:r>
              <w:rPr>
                <w:color w:val="071E39"/>
                <w:sz w:val="19"/>
              </w:rPr>
              <w:t>Purpose: to hear creation as witness, receive Scripture as clear testimony, and respond with worship to the Creator.</w:t>
            </w:r>
          </w:p>
        </w:tc>
      </w:tr>
    </w:tbl>
    <w:p>
      <w:pPr>
        <w:pStyle w:val="Heading1"/>
      </w:pPr>
      <w:r>
        <w:t>Opening Reflection</w:t>
      </w:r>
    </w:p>
    <w:p>
      <w:pPr>
        <w:pStyle w:val="ListBullet"/>
        <w:spacing w:after="40"/>
      </w:pPr>
      <w:r>
        <w:t>When has the sky, a sunrise, or the stars moved you to prayer?</w:t>
      </w:r>
    </w:p>
    <w:p>
      <w:pPr>
        <w:pStyle w:val="ListBullet"/>
        <w:spacing w:after="40"/>
      </w:pPr>
      <w:r>
        <w:t>What helps you move from admiring creation to worshiping the Creator?</w:t>
      </w:r>
    </w:p>
    <w:p>
      <w:pPr>
        <w:pStyle w:val="ListBullet"/>
        <w:spacing w:after="40"/>
      </w:pPr>
      <w:r>
        <w:t>Why do hurried lives often miss what the heavens silently declare?</w:t>
      </w:r>
    </w:p>
    <w:p>
      <w:pPr>
        <w:pStyle w:val="Heading1"/>
      </w:pPr>
      <w:r>
        <w:t>Hymn at a Glance</w:t>
      </w:r>
    </w:p>
    <w:tbl>
      <w:tblPr>
        <w:tblW w:type="auto" w:w="0"/>
        <w:jc w:val="center"/>
        <w:tblLook w:firstColumn="1" w:firstRow="1" w:lastColumn="0" w:lastRow="0" w:noHBand="0" w:noVBand="1" w:val="04A0"/>
      </w:tblPr>
      <w:tblGrid>
        <w:gridCol w:w="5184"/>
        <w:gridCol w:w="5184"/>
      </w:tblGrid>
      <w:tr>
        <w:tc>
          <w:tcPr>
            <w:tcW w:type="dxa" w:w="5184"/>
            <w:shd w:fill="EAF0F8"/>
            <w:vAlign w:val="center"/>
            <w:tcBorders>
              <w:top w:sz="4" w:val="single" w:color="C9D3E0"/>
              <w:left w:sz="4" w:val="single" w:color="C9D3E0"/>
              <w:bottom w:sz="4" w:val="single" w:color="C9D3E0"/>
              <w:right w:sz="4" w:val="single" w:color="C9D3E0"/>
            </w:tcBorders>
          </w:tcPr>
          <w:p>
            <w:r>
              <w:t>Title</w:t>
            </w:r>
          </w:p>
        </w:tc>
        <w:tc>
          <w:tcPr>
            <w:tcW w:type="dxa" w:w="5184"/>
            <w:shd w:fill="FFFFFF"/>
            <w:vAlign w:val="center"/>
            <w:tcBorders>
              <w:top w:sz="4" w:val="single" w:color="C9D3E0"/>
              <w:left w:sz="4" w:val="single" w:color="C9D3E0"/>
              <w:bottom w:sz="4" w:val="single" w:color="C9D3E0"/>
              <w:right w:sz="4" w:val="single" w:color="C9D3E0"/>
            </w:tcBorders>
          </w:tcPr>
          <w:p>
            <w:r>
              <w:t>The Spacious Firmament on High</w:t>
            </w:r>
          </w:p>
        </w:tc>
      </w:tr>
      <w:tr>
        <w:tc>
          <w:tcPr>
            <w:tcW w:type="dxa" w:w="5184"/>
            <w:shd w:fill="EAF0F8"/>
            <w:vAlign w:val="center"/>
            <w:tcBorders>
              <w:top w:sz="4" w:val="single" w:color="C9D3E0"/>
              <w:left w:sz="4" w:val="single" w:color="C9D3E0"/>
              <w:bottom w:sz="4" w:val="single" w:color="C9D3E0"/>
              <w:right w:sz="4" w:val="single" w:color="C9D3E0"/>
            </w:tcBorders>
          </w:tcPr>
          <w:p>
            <w:r>
              <w:t>First line</w:t>
            </w:r>
          </w:p>
        </w:tc>
        <w:tc>
          <w:tcPr>
            <w:tcW w:type="dxa" w:w="5184"/>
            <w:shd w:fill="FFFFFF"/>
            <w:vAlign w:val="center"/>
            <w:tcBorders>
              <w:top w:sz="4" w:val="single" w:color="C9D3E0"/>
              <w:left w:sz="4" w:val="single" w:color="C9D3E0"/>
              <w:bottom w:sz="4" w:val="single" w:color="C9D3E0"/>
              <w:right w:sz="4" w:val="single" w:color="C9D3E0"/>
            </w:tcBorders>
          </w:tcPr>
          <w:p>
            <w:r>
              <w:t>The spacious firmament on high</w:t>
            </w:r>
          </w:p>
        </w:tc>
      </w:tr>
      <w:tr>
        <w:tc>
          <w:tcPr>
            <w:tcW w:type="dxa" w:w="5184"/>
            <w:shd w:fill="EAF0F8"/>
            <w:vAlign w:val="center"/>
            <w:tcBorders>
              <w:top w:sz="4" w:val="single" w:color="C9D3E0"/>
              <w:left w:sz="4" w:val="single" w:color="C9D3E0"/>
              <w:bottom w:sz="4" w:val="single" w:color="C9D3E0"/>
              <w:right w:sz="4" w:val="single" w:color="C9D3E0"/>
            </w:tcBorders>
          </w:tcPr>
          <w:p>
            <w:r>
              <w:t>Text</w:t>
            </w:r>
          </w:p>
        </w:tc>
        <w:tc>
          <w:tcPr>
            <w:tcW w:type="dxa" w:w="5184"/>
            <w:shd w:fill="FFFFFF"/>
            <w:vAlign w:val="center"/>
            <w:tcBorders>
              <w:top w:sz="4" w:val="single" w:color="C9D3E0"/>
              <w:left w:sz="4" w:val="single" w:color="C9D3E0"/>
              <w:bottom w:sz="4" w:val="single" w:color="C9D3E0"/>
              <w:right w:sz="4" w:val="single" w:color="C9D3E0"/>
            </w:tcBorders>
          </w:tcPr>
          <w:p>
            <w:r>
              <w:t>Joseph Addison, 1712</w:t>
            </w:r>
          </w:p>
        </w:tc>
      </w:tr>
      <w:tr>
        <w:tc>
          <w:tcPr>
            <w:tcW w:type="dxa" w:w="5184"/>
            <w:shd w:fill="EAF0F8"/>
            <w:vAlign w:val="center"/>
            <w:tcBorders>
              <w:top w:sz="4" w:val="single" w:color="C9D3E0"/>
              <w:left w:sz="4" w:val="single" w:color="C9D3E0"/>
              <w:bottom w:sz="4" w:val="single" w:color="C9D3E0"/>
              <w:right w:sz="4" w:val="single" w:color="C9D3E0"/>
            </w:tcBorders>
          </w:tcPr>
          <w:p>
            <w:r>
              <w:t>Tune</w:t>
            </w:r>
          </w:p>
        </w:tc>
        <w:tc>
          <w:tcPr>
            <w:tcW w:type="dxa" w:w="5184"/>
            <w:shd w:fill="FFFFFF"/>
            <w:vAlign w:val="center"/>
            <w:tcBorders>
              <w:top w:sz="4" w:val="single" w:color="C9D3E0"/>
              <w:left w:sz="4" w:val="single" w:color="C9D3E0"/>
              <w:bottom w:sz="4" w:val="single" w:color="C9D3E0"/>
              <w:right w:sz="4" w:val="single" w:color="C9D3E0"/>
            </w:tcBorders>
          </w:tcPr>
          <w:p>
            <w:r>
              <w:t>CREATION, adapted from Haydn’s The Creation</w:t>
            </w:r>
          </w:p>
        </w:tc>
      </w:tr>
      <w:tr>
        <w:tc>
          <w:tcPr>
            <w:tcW w:type="dxa" w:w="5184"/>
            <w:shd w:fill="EAF0F8"/>
            <w:vAlign w:val="center"/>
            <w:tcBorders>
              <w:top w:sz="4" w:val="single" w:color="C9D3E0"/>
              <w:left w:sz="4" w:val="single" w:color="C9D3E0"/>
              <w:bottom w:sz="4" w:val="single" w:color="C9D3E0"/>
              <w:right w:sz="4" w:val="single" w:color="C9D3E0"/>
            </w:tcBorders>
          </w:tcPr>
          <w:p>
            <w:r>
              <w:t>Meter</w:t>
            </w:r>
          </w:p>
        </w:tc>
        <w:tc>
          <w:tcPr>
            <w:tcW w:type="dxa" w:w="5184"/>
            <w:shd w:fill="FFFFFF"/>
            <w:vAlign w:val="center"/>
            <w:tcBorders>
              <w:top w:sz="4" w:val="single" w:color="C9D3E0"/>
              <w:left w:sz="4" w:val="single" w:color="C9D3E0"/>
              <w:bottom w:sz="4" w:val="single" w:color="C9D3E0"/>
              <w:right w:sz="4" w:val="single" w:color="C9D3E0"/>
            </w:tcBorders>
          </w:tcPr>
          <w:p>
            <w:r>
              <w:t>L.M.D. (8.8.8.8.8.8.8.8)</w:t>
            </w:r>
          </w:p>
        </w:tc>
      </w:tr>
      <w:tr>
        <w:tc>
          <w:tcPr>
            <w:tcW w:type="dxa" w:w="5184"/>
            <w:shd w:fill="EAF0F8"/>
            <w:vAlign w:val="center"/>
            <w:tcBorders>
              <w:top w:sz="4" w:val="single" w:color="C9D3E0"/>
              <w:left w:sz="4" w:val="single" w:color="C9D3E0"/>
              <w:bottom w:sz="4" w:val="single" w:color="C9D3E0"/>
              <w:right w:sz="4" w:val="single" w:color="C9D3E0"/>
            </w:tcBorders>
          </w:tcPr>
          <w:p>
            <w:r>
              <w:t>Primary Scripture</w:t>
            </w:r>
          </w:p>
        </w:tc>
        <w:tc>
          <w:tcPr>
            <w:tcW w:type="dxa" w:w="5184"/>
            <w:shd w:fill="FFFFFF"/>
            <w:vAlign w:val="center"/>
            <w:tcBorders>
              <w:top w:sz="4" w:val="single" w:color="C9D3E0"/>
              <w:left w:sz="4" w:val="single" w:color="C9D3E0"/>
              <w:bottom w:sz="4" w:val="single" w:color="C9D3E0"/>
              <w:right w:sz="4" w:val="single" w:color="C9D3E0"/>
            </w:tcBorders>
          </w:tcPr>
          <w:p>
            <w:r>
              <w:t>Psalm 19:1-6</w:t>
            </w:r>
          </w:p>
        </w:tc>
      </w:tr>
    </w:tbl>
    <w:p>
      <w:pPr>
        <w:pStyle w:val="Heading1"/>
      </w:pPr>
      <w:r>
        <w:t>Brief Background</w:t>
      </w:r>
    </w:p>
    <w:p>
      <w:r>
        <w:t>Joseph Addison published this hymn in The Spectator in 1712 as a poetic meditation on Psalm 19. Its polished language reflects early eighteenth-century Anglican devotion: orderly, scriptural, and attentive to creation as a witness to God’s glory.</w:t>
      </w:r>
    </w:p>
    <w:p>
      <w:r>
        <w:t>The tune commonly paired with the text is CREATION, adapted from Franz Joseph Haydn’s oratorio The Creation. Its broad musical shape suits a hymn that asks worshipers to lift their eyes from daily life to the majesty of God’s handiwork.</w:t>
      </w:r>
    </w:p>
    <w:p>
      <w:pPr>
        <w:pStyle w:val="Heading1"/>
      </w:pPr>
      <w:r>
        <w:t>Scripture Connections</w:t>
      </w:r>
    </w:p>
    <w:p>
      <w:pPr>
        <w:pStyle w:val="ListBullet"/>
        <w:spacing w:after="40"/>
      </w:pPr>
      <w:r>
        <w:t>Psalm 19:1-6 — the heavens declare the glory of God.</w:t>
      </w:r>
    </w:p>
    <w:p>
      <w:pPr>
        <w:pStyle w:val="ListBullet"/>
        <w:spacing w:after="40"/>
      </w:pPr>
      <w:r>
        <w:t>Genesis 1:14-19 — sun, moon, and stars are created lights appointed by God.</w:t>
      </w:r>
    </w:p>
    <w:p>
      <w:pPr>
        <w:pStyle w:val="ListBullet"/>
        <w:spacing w:after="40"/>
      </w:pPr>
      <w:r>
        <w:t>Romans 1:19-20 — creation gives true witness to God’s power and divinity.</w:t>
      </w:r>
    </w:p>
    <w:p>
      <w:pPr>
        <w:pStyle w:val="ListBullet"/>
        <w:spacing w:after="40"/>
      </w:pPr>
      <w:r>
        <w:t>Psalm 8:3-4 — the vast heavens humble us before the God who cares for people.</w:t>
      </w:r>
    </w:p>
    <w:p>
      <w:pPr>
        <w:pStyle w:val="ListBullet"/>
        <w:spacing w:after="40"/>
      </w:pPr>
      <w:r>
        <w:t>Isaiah 40:26 — the Lord names and sustains the stars.</w:t>
      </w:r>
    </w:p>
    <w:p>
      <w:pPr>
        <w:pStyle w:val="Heading1"/>
      </w:pPr>
      <w:r>
        <w:t>Stanza Study</w:t>
      </w:r>
    </w:p>
    <w:p>
      <w:pPr>
        <w:pStyle w:val="Heading2"/>
      </w:pPr>
      <w:r>
        <w:t>Stanza 1: Daylight witness</w:t>
      </w:r>
    </w:p>
    <w:p>
      <w:r>
        <w:t>The sun’s daily course becomes a sermon without words. Every morning proclaims the power of the Creator who made and sustains the world.</w:t>
      </w:r>
    </w:p>
    <w:p>
      <w:pPr>
        <w:pStyle w:val="Heading2"/>
      </w:pPr>
      <w:r>
        <w:t>Stanza 2: Nighttime witness</w:t>
      </w:r>
    </w:p>
    <w:p>
      <w:r>
        <w:t>The moon, stars, and planets continue the testimony after sunset. God’s glory is not limited to bright daylight; it is also heard in quietness.</w:t>
      </w:r>
    </w:p>
    <w:p>
      <w:pPr>
        <w:pStyle w:val="Heading2"/>
      </w:pPr>
      <w:r>
        <w:t>Stanza 3: Hearing with faith and reason</w:t>
      </w:r>
    </w:p>
    <w:p>
      <w:r>
        <w:t>The heavenly bodies make no audible speech, yet their order speaks clearly to the attentive mind. The final confession points all beauty back to the divine hand that made it.</w:t>
      </w:r>
    </w:p>
    <w:p>
      <w:pPr>
        <w:pStyle w:val="Heading1"/>
      </w:pPr>
      <w:r>
        <w:t>Study Table</w:t>
      </w:r>
    </w:p>
    <w:tbl>
      <w:tblPr>
        <w:tblW w:type="auto" w:w="0"/>
        <w:jc w:val="center"/>
        <w:tblLook w:firstColumn="1" w:firstRow="1" w:lastColumn="0" w:lastRow="0" w:noHBand="0" w:noVBand="1" w:val="04A0"/>
      </w:tblPr>
      <w:tblGrid>
        <w:gridCol w:w="3456"/>
        <w:gridCol w:w="3456"/>
        <w:gridCol w:w="3456"/>
      </w:tblGrid>
      <w:tr>
        <w:tc>
          <w:tcPr>
            <w:tcW w:type="dxa" w:w="3456"/>
            <w:shd w:fill="0B2D4D"/>
          </w:tcPr>
          <w:p>
            <w:r>
              <w:rPr>
                <w:b/>
                <w:color w:val="FFFFFF"/>
              </w:rPr>
              <w:t>Hymn Theme</w:t>
            </w:r>
          </w:p>
        </w:tc>
        <w:tc>
          <w:tcPr>
            <w:tcW w:type="dxa" w:w="3456"/>
            <w:shd w:fill="0B2D4D"/>
          </w:tcPr>
          <w:p>
            <w:r>
              <w:rPr>
                <w:b/>
                <w:color w:val="FFFFFF"/>
              </w:rPr>
              <w:t>Scripture Connection</w:t>
            </w:r>
          </w:p>
        </w:tc>
        <w:tc>
          <w:tcPr>
            <w:tcW w:type="dxa" w:w="3456"/>
            <w:shd w:fill="0B2D4D"/>
          </w:tcPr>
          <w:p>
            <w:r>
              <w:rPr>
                <w:b/>
                <w:color w:val="FFFFFF"/>
              </w:rPr>
              <w:t>Discussion Prompt</w:t>
            </w:r>
          </w:p>
        </w:tc>
      </w:tr>
      <w:tr>
        <w:tc>
          <w:tcPr>
            <w:tcW w:type="dxa" w:w="3456"/>
            <w:tcBorders>
              <w:top w:sz="4" w:val="single" w:color="D0D7E2"/>
              <w:left w:sz="4" w:val="single" w:color="D0D7E2"/>
              <w:bottom w:sz="4" w:val="single" w:color="D0D7E2"/>
              <w:right w:sz="4" w:val="single" w:color="D0D7E2"/>
            </w:tcBorders>
          </w:tcPr>
          <w:p>
            <w:r>
              <w:t>Creation speaks</w:t>
            </w:r>
          </w:p>
        </w:tc>
        <w:tc>
          <w:tcPr>
            <w:tcW w:type="dxa" w:w="3456"/>
            <w:tcBorders>
              <w:top w:sz="4" w:val="single" w:color="D0D7E2"/>
              <w:left w:sz="4" w:val="single" w:color="D0D7E2"/>
              <w:bottom w:sz="4" w:val="single" w:color="D0D7E2"/>
              <w:right w:sz="4" w:val="single" w:color="D0D7E2"/>
            </w:tcBorders>
          </w:tcPr>
          <w:p>
            <w:r>
              <w:t>Psalm 19:1-6</w:t>
            </w:r>
          </w:p>
        </w:tc>
        <w:tc>
          <w:tcPr>
            <w:tcW w:type="dxa" w:w="3456"/>
            <w:tcBorders>
              <w:top w:sz="4" w:val="single" w:color="D0D7E2"/>
              <w:left w:sz="4" w:val="single" w:color="D0D7E2"/>
              <w:bottom w:sz="4" w:val="single" w:color="D0D7E2"/>
              <w:right w:sz="4" w:val="single" w:color="D0D7E2"/>
            </w:tcBorders>
          </w:tcPr>
          <w:p>
            <w:r>
              <w:t>What does creation say about God without using words?</w:t>
            </w:r>
          </w:p>
        </w:tc>
      </w:tr>
      <w:tr>
        <w:tc>
          <w:tcPr>
            <w:tcW w:type="dxa" w:w="3456"/>
            <w:tcBorders>
              <w:top w:sz="4" w:val="single" w:color="D0D7E2"/>
              <w:left w:sz="4" w:val="single" w:color="D0D7E2"/>
              <w:bottom w:sz="4" w:val="single" w:color="D0D7E2"/>
              <w:right w:sz="4" w:val="single" w:color="D0D7E2"/>
            </w:tcBorders>
          </w:tcPr>
          <w:p>
            <w:r>
              <w:t>Order and providence</w:t>
            </w:r>
          </w:p>
        </w:tc>
        <w:tc>
          <w:tcPr>
            <w:tcW w:type="dxa" w:w="3456"/>
            <w:tcBorders>
              <w:top w:sz="4" w:val="single" w:color="D0D7E2"/>
              <w:left w:sz="4" w:val="single" w:color="D0D7E2"/>
              <w:bottom w:sz="4" w:val="single" w:color="D0D7E2"/>
              <w:right w:sz="4" w:val="single" w:color="D0D7E2"/>
            </w:tcBorders>
          </w:tcPr>
          <w:p>
            <w:r>
              <w:t>Genesis 1:14-19</w:t>
            </w:r>
          </w:p>
        </w:tc>
        <w:tc>
          <w:tcPr>
            <w:tcW w:type="dxa" w:w="3456"/>
            <w:tcBorders>
              <w:top w:sz="4" w:val="single" w:color="D0D7E2"/>
              <w:left w:sz="4" w:val="single" w:color="D0D7E2"/>
              <w:bottom w:sz="4" w:val="single" w:color="D0D7E2"/>
              <w:right w:sz="4" w:val="single" w:color="D0D7E2"/>
            </w:tcBorders>
          </w:tcPr>
          <w:p>
            <w:r>
              <w:t>How do daily rhythms become reasons for trust?</w:t>
            </w:r>
          </w:p>
        </w:tc>
      </w:tr>
      <w:tr>
        <w:tc>
          <w:tcPr>
            <w:tcW w:type="dxa" w:w="3456"/>
            <w:tcBorders>
              <w:top w:sz="4" w:val="single" w:color="D0D7E2"/>
              <w:left w:sz="4" w:val="single" w:color="D0D7E2"/>
              <w:bottom w:sz="4" w:val="single" w:color="D0D7E2"/>
              <w:right w:sz="4" w:val="single" w:color="D0D7E2"/>
            </w:tcBorders>
          </w:tcPr>
          <w:p>
            <w:r>
              <w:t>Humility before greatness</w:t>
            </w:r>
          </w:p>
        </w:tc>
        <w:tc>
          <w:tcPr>
            <w:tcW w:type="dxa" w:w="3456"/>
            <w:tcBorders>
              <w:top w:sz="4" w:val="single" w:color="D0D7E2"/>
              <w:left w:sz="4" w:val="single" w:color="D0D7E2"/>
              <w:bottom w:sz="4" w:val="single" w:color="D0D7E2"/>
              <w:right w:sz="4" w:val="single" w:color="D0D7E2"/>
            </w:tcBorders>
          </w:tcPr>
          <w:p>
            <w:r>
              <w:t>Psalm 8:3-4</w:t>
            </w:r>
          </w:p>
        </w:tc>
        <w:tc>
          <w:tcPr>
            <w:tcW w:type="dxa" w:w="3456"/>
            <w:tcBorders>
              <w:top w:sz="4" w:val="single" w:color="D0D7E2"/>
              <w:left w:sz="4" w:val="single" w:color="D0D7E2"/>
              <w:bottom w:sz="4" w:val="single" w:color="D0D7E2"/>
              <w:right w:sz="4" w:val="single" w:color="D0D7E2"/>
            </w:tcBorders>
          </w:tcPr>
          <w:p>
            <w:r>
              <w:t>How does the night sky put human pride in its place?</w:t>
            </w:r>
          </w:p>
        </w:tc>
      </w:tr>
      <w:tr>
        <w:tc>
          <w:tcPr>
            <w:tcW w:type="dxa" w:w="3456"/>
            <w:tcBorders>
              <w:top w:sz="4" w:val="single" w:color="D0D7E2"/>
              <w:left w:sz="4" w:val="single" w:color="D0D7E2"/>
              <w:bottom w:sz="4" w:val="single" w:color="D0D7E2"/>
              <w:right w:sz="4" w:val="single" w:color="D0D7E2"/>
            </w:tcBorders>
          </w:tcPr>
          <w:p>
            <w:r>
              <w:t>Worshipful attention</w:t>
            </w:r>
          </w:p>
        </w:tc>
        <w:tc>
          <w:tcPr>
            <w:tcW w:type="dxa" w:w="3456"/>
            <w:tcBorders>
              <w:top w:sz="4" w:val="single" w:color="D0D7E2"/>
              <w:left w:sz="4" w:val="single" w:color="D0D7E2"/>
              <w:bottom w:sz="4" w:val="single" w:color="D0D7E2"/>
              <w:right w:sz="4" w:val="single" w:color="D0D7E2"/>
            </w:tcBorders>
          </w:tcPr>
          <w:p>
            <w:r>
              <w:t>Isaiah 40:26</w:t>
            </w:r>
          </w:p>
        </w:tc>
        <w:tc>
          <w:tcPr>
            <w:tcW w:type="dxa" w:w="3456"/>
            <w:tcBorders>
              <w:top w:sz="4" w:val="single" w:color="D0D7E2"/>
              <w:left w:sz="4" w:val="single" w:color="D0D7E2"/>
              <w:bottom w:sz="4" w:val="single" w:color="D0D7E2"/>
              <w:right w:sz="4" w:val="single" w:color="D0D7E2"/>
            </w:tcBorders>
          </w:tcPr>
          <w:p>
            <w:r>
              <w:t>What would change if you looked upward with prayer more often?</w:t>
            </w:r>
          </w:p>
        </w:tc>
      </w:tr>
    </w:tbl>
    <w:p>
      <w:pPr>
        <w:pStyle w:val="Heading1"/>
      </w:pPr>
      <w:r>
        <w:t>Discussion Questions</w:t>
      </w:r>
    </w:p>
    <w:p>
      <w:pPr>
        <w:pStyle w:val="ListBullet"/>
        <w:spacing w:after="40"/>
      </w:pPr>
      <w:r>
        <w:t>How does Psalm 19 deepen your reading of the hymn?</w:t>
      </w:r>
    </w:p>
    <w:p>
      <w:pPr>
        <w:pStyle w:val="ListBullet"/>
        <w:spacing w:after="40"/>
      </w:pPr>
      <w:r>
        <w:t>What is the difference between seeing creation as beautiful and receiving it as testimony?</w:t>
      </w:r>
    </w:p>
    <w:p>
      <w:pPr>
        <w:pStyle w:val="ListBullet"/>
        <w:spacing w:after="40"/>
      </w:pPr>
      <w:r>
        <w:t>Why is it important to say creation points to God but is not God?</w:t>
      </w:r>
    </w:p>
    <w:p>
      <w:pPr>
        <w:pStyle w:val="ListBullet"/>
        <w:spacing w:after="40"/>
      </w:pPr>
      <w:r>
        <w:t>How does Romans 1 sharpen the hymn’s claim that creation truly speaks?</w:t>
      </w:r>
    </w:p>
    <w:p>
      <w:pPr>
        <w:pStyle w:val="ListBullet"/>
        <w:spacing w:after="40"/>
      </w:pPr>
      <w:r>
        <w:t>What daily rhythm could become a regular call to prayer this week?</w:t>
      </w:r>
    </w:p>
    <w:p>
      <w:pPr>
        <w:pStyle w:val="ListBullet"/>
        <w:spacing w:after="40"/>
      </w:pPr>
      <w:r>
        <w:t>How can this hymn help children or new believers connect wonder with worship?</w:t>
      </w:r>
    </w:p>
    <w:p>
      <w:pPr>
        <w:pStyle w:val="ListBullet"/>
        <w:spacing w:after="40"/>
      </w:pPr>
      <w:r>
        <w:t>How should creation’s witness lead us toward Scripture and Christ rather than away from them?</w:t>
      </w:r>
    </w:p>
    <w:p>
      <w:pPr>
        <w:pStyle w:val="Heading1"/>
      </w:pPr>
      <w:r>
        <w:t>Practice This Week</w:t>
      </w:r>
    </w:p>
    <w:p>
      <w:pPr>
        <w:pStyle w:val="ListBullet"/>
        <w:spacing w:after="40"/>
      </w:pPr>
      <w:r>
        <w:t>Read Psalm 19:1-6 outdoors or near a window one morning.</w:t>
      </w:r>
    </w:p>
    <w:p>
      <w:pPr>
        <w:pStyle w:val="ListBullet"/>
        <w:spacing w:after="40"/>
      </w:pPr>
      <w:r>
        <w:t>Pause at sunset and name one sign of God’s faithfulness from the day.</w:t>
      </w:r>
    </w:p>
    <w:p>
      <w:pPr>
        <w:pStyle w:val="ListBullet"/>
        <w:spacing w:after="40"/>
      </w:pPr>
      <w:r>
        <w:t>Look at the night sky and pray Psalm 8: “What is man, that you think of him?”</w:t>
      </w:r>
    </w:p>
    <w:p>
      <w:pPr>
        <w:pStyle w:val="ListBullet"/>
        <w:spacing w:after="40"/>
      </w:pPr>
      <w:r>
        <w:t>Thank God for one created gift without treating it as ultimate.</w:t>
      </w:r>
    </w:p>
    <w:p>
      <w:pPr>
        <w:pStyle w:val="ListBullet"/>
        <w:spacing w:after="40"/>
      </w:pPr>
      <w:r>
        <w:t>Share with someone how creation has helped you worship the Creator.</w:t>
      </w:r>
    </w:p>
    <w:p>
      <w:pPr>
        <w:pStyle w:val="Heading1"/>
      </w:pPr>
      <w:r>
        <w:t>Leader Notes</w:t>
      </w:r>
    </w:p>
    <w:p>
      <w:r>
        <w:t>Keep the discussion from becoming only a conversation about nature. Addison’s hymn is about worship: creation gives true testimony, but Scripture gives clearer speech, and Christ brings saving grace. Let wonder lead the group into thanksgiving, humility, and obedience.</w:t>
      </w:r>
    </w:p>
    <w:p>
      <w:pPr>
        <w:pStyle w:val="Heading1"/>
      </w:pPr>
      <w:r>
        <w:t>Closing Prayer</w:t>
      </w:r>
    </w:p>
    <w:p>
      <w:r>
        <w:t>Creator and Lord, teach us to hear what the heavens declare. Open our eyes to your glory in the work of your hands, and open our hearts to your saving Word. Make our wonder humble, our praise sincere, and our daily lives attentive to your faithfulness. Amen.</w:t>
      </w:r>
    </w:p>
    <w:p>
      <w:pPr>
        <w:jc w:val="center"/>
      </w:pPr>
      <w:r>
        <w:rPr>
          <w:color w:val="4B5563"/>
          <w:sz w:val="16"/>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936" w:bottom="792" w:left="936"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B5563"/>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eastAsia="Georgia"/>
      <w:b/>
      <w:bCs/>
      <w:color w:val="071E3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eastAsia="Georgia"/>
      <w:b/>
      <w:bCs/>
      <w:color w:val="9A6F2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eastAsia="Georgia"/>
      <w:b/>
      <w:bCs/>
      <w:color w:val="071E3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eastAsia="Georgia"/>
      <w:color w:val="071E3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Hymn study resource</dc:subject>
  <dc:creator>HymnInfo.com</dc:creator>
  <cp:keywords>hymn study, Christian worship, church teaching, HymnInfo</cp:keywords>
  <dc:description>generated by python-docx</dc:description>
  <cp:lastModifiedBy/>
  <cp:revision>1</cp:revision>
  <dcterms:created xsi:type="dcterms:W3CDTF">2013-12-23T23:15:00Z</dcterms:created>
  <dcterms:modified xsi:type="dcterms:W3CDTF">2013-12-23T23:15:00Z</dcterms:modified>
  <cp:category/>
</cp:coreProperties>
</file>