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color w:val="4A2E20"/>
        </w:rPr>
        <w:t>And Now, O Father, Mindful of the Love</w:t>
      </w:r>
    </w:p>
    <w:p>
      <w:pPr>
        <w:jc w:val="center"/>
      </w:pPr>
      <w:r>
        <w:rPr>
          <w:i/>
          <w:color w:val="6E5644"/>
          <w:sz w:val="20"/>
        </w:rPr>
        <w:t>Sermon outline for Communion, assurance, and the priestly work of Christ</w:t>
      </w:r>
    </w:p>
    <w:p>
      <w:pPr>
        <w:pStyle w:val="Heading1"/>
      </w:pPr>
      <w:r>
        <w:t>Sermon Title</w:t>
      </w:r>
    </w:p>
    <w:p>
      <w:r>
        <w:t>Mindful of the Love: Coming to the Father Through Christ</w:t>
      </w:r>
    </w:p>
    <w:p>
      <w:pPr>
        <w:pStyle w:val="Heading1"/>
      </w:pPr>
      <w:r>
        <w:t>Main Text and Supporting Scriptures</w:t>
      </w:r>
    </w:p>
    <w:p>
      <w:pPr>
        <w:pStyle w:val="ListBullet"/>
        <w:spacing w:after="20"/>
        <w:ind w:left="317"/>
      </w:pPr>
      <w:r>
        <w:t>Main Text: Hebrews 7:25-27 and Hebrews 10:10-12</w:t>
      </w:r>
    </w:p>
    <w:p>
      <w:pPr>
        <w:pStyle w:val="ListBullet"/>
        <w:spacing w:after="20"/>
        <w:ind w:left="317"/>
      </w:pPr>
      <w:r>
        <w:t>Supporting: Romans 8:33-34; 1 Corinthians 11:23-26; John 6:51; Philippians 3:9</w:t>
      </w:r>
    </w:p>
    <w:p>
      <w:pPr>
        <w:pStyle w:val="Heading1"/>
      </w:pPr>
      <w:r>
        <w:t>Big Idea</w:t>
      </w:r>
    </w:p>
    <w:p>
      <w:r>
        <w:t>Because Christ has offered himself once for all and now intercedes for his people, believers may approach the Father in Communion with honest confession, settled assurance, and glad obedience.</w:t>
      </w:r>
    </w:p>
    <w:p>
      <w:pPr>
        <w:pStyle w:val="Heading1"/>
      </w:pPr>
      <w:r>
        <w:t>Introduction</w:t>
      </w:r>
    </w:p>
    <w:p>
      <w:r>
        <w:t>Many believers come to the Lord’s table with divided hearts. They know Christ is gracious, yet their own failures feel loud. William Bright’s Communion hymn gives the church words for that moment. It does not pretend that prayer is always strong or faith always bright. It points us instead to the Son: crucified, risen, interceding, and feeding his people with grace.</w:t>
      </w:r>
    </w:p>
    <w:p>
      <w:pPr>
        <w:pStyle w:val="Heading1"/>
      </w:pPr>
      <w:r>
        <w:t>1. Come remembering the love that was offered once for all</w:t>
      </w:r>
    </w:p>
    <w:p>
      <w:r>
        <w:rPr>
          <w:b/>
        </w:rPr>
        <w:t xml:space="preserve">Explanation: </w:t>
      </w:r>
      <w:r>
        <w:t>Hebrews insists that Christ does not need to offer repeated sacrifices. He offered himself once for all. Communion is not a new Calvary; it is remembrance, proclamation, and participation in the grace of the sacrifice already made.</w:t>
      </w:r>
    </w:p>
    <w:p>
      <w:r>
        <w:rPr>
          <w:b/>
        </w:rPr>
        <w:t xml:space="preserve">Hymn Connection: </w:t>
      </w:r>
      <w:r>
        <w:t>The hymn begins with the Father’s love revealed through the Son’s offering. It teaches the church to place Christ’s sacrifice, not our religious performance, at the center of the table.</w:t>
      </w:r>
    </w:p>
    <w:p>
      <w:r>
        <w:rPr>
          <w:b/>
        </w:rPr>
        <w:t xml:space="preserve">Biblical Support: </w:t>
      </w:r>
      <w:r>
        <w:t>Hebrews 10:10-12; 1 Corinthians 11:23-26</w:t>
      </w:r>
    </w:p>
    <w:p>
      <w:r>
        <w:rPr>
          <w:b/>
        </w:rPr>
        <w:t xml:space="preserve">Illustration Idea: </w:t>
      </w:r>
      <w:r>
        <w:t>A family keeps a treasured letter from a loved one not to recreate the original act of love, but to remember and receive its meaning again.</w:t>
      </w:r>
    </w:p>
    <w:p>
      <w:r>
        <w:rPr>
          <w:b/>
        </w:rPr>
        <w:t xml:space="preserve">Application: </w:t>
      </w:r>
      <w:r>
        <w:t>Let the Supper turn your eyes outward to Christ’s finished work. Do not measure the table by the strength of your emotions; receive it by faith in the Savior who gave himself.</w:t>
      </w:r>
    </w:p>
    <w:p>
      <w:pPr>
        <w:pStyle w:val="Heading1"/>
      </w:pPr>
      <w:r>
        <w:t>2. Come trusting the Savior who lives to intercede</w:t>
      </w:r>
    </w:p>
    <w:p>
      <w:r>
        <w:rPr>
          <w:b/>
        </w:rPr>
        <w:t xml:space="preserve">Explanation: </w:t>
      </w:r>
      <w:r>
        <w:t>The crucified Christ is also the exalted Christ. He lives forever to make intercession for those who draw near to God through him. The believer’s confidence rests in a living advocate at the Father’s right hand.</w:t>
      </w:r>
    </w:p>
    <w:p>
      <w:r>
        <w:rPr>
          <w:b/>
        </w:rPr>
        <w:t xml:space="preserve">Hymn Connection: </w:t>
      </w:r>
      <w:r>
        <w:t>Bright’s hymn speaks of Christ pleading above. This is not uncertainty in heaven, but priestly advocacy grounded in the sufficiency of the cross.</w:t>
      </w:r>
    </w:p>
    <w:p>
      <w:r>
        <w:rPr>
          <w:b/>
        </w:rPr>
        <w:t xml:space="preserve">Biblical Support: </w:t>
      </w:r>
      <w:r>
        <w:t>Hebrews 7:25-27; Romans 8:33-34</w:t>
      </w:r>
    </w:p>
    <w:p>
      <w:r>
        <w:rPr>
          <w:b/>
        </w:rPr>
        <w:t xml:space="preserve">Illustration Idea: </w:t>
      </w:r>
      <w:r>
        <w:t>In a courtroom, the accused needs more than good intentions; he needs an advocate whose standing before the judge is secure.</w:t>
      </w:r>
    </w:p>
    <w:p>
      <w:r>
        <w:rPr>
          <w:b/>
        </w:rPr>
        <w:t xml:space="preserve">Application: </w:t>
      </w:r>
      <w:r>
        <w:t>When conscience accuses you, answer with Christ. He died, he rose, he intercedes, and no charge can overturn the verdict of grace.</w:t>
      </w:r>
    </w:p>
    <w:p>
      <w:pPr>
        <w:pStyle w:val="Heading1"/>
      </w:pPr>
      <w:r>
        <w:t>3. Come as those who are found in Christ</w:t>
      </w:r>
    </w:p>
    <w:p>
      <w:r>
        <w:rPr>
          <w:b/>
        </w:rPr>
        <w:t xml:space="preserve">Explanation: </w:t>
      </w:r>
      <w:r>
        <w:t>The gospel does not ask believers to deny spiritual weakness. Prayer can be languid and faith dim. But the Father receives his people in the beloved Son. Their righteousness is not self-made; it is received through faith in Christ.</w:t>
      </w:r>
    </w:p>
    <w:p>
      <w:r>
        <w:rPr>
          <w:b/>
        </w:rPr>
        <w:t xml:space="preserve">Hymn Connection: </w:t>
      </w:r>
      <w:r>
        <w:t>The hymn’s second movement places Christ between our sins and their deserved reward. This is the pastoral heart of Communion: repentance without despair, humility without terror.</w:t>
      </w:r>
    </w:p>
    <w:p>
      <w:r>
        <w:rPr>
          <w:b/>
        </w:rPr>
        <w:t xml:space="preserve">Biblical Support: </w:t>
      </w:r>
      <w:r>
        <w:t>Philippians 3:9; Romans 8:33-34</w:t>
      </w:r>
    </w:p>
    <w:p>
      <w:r>
        <w:rPr>
          <w:b/>
        </w:rPr>
        <w:t xml:space="preserve">Illustration Idea: </w:t>
      </w:r>
      <w:r>
        <w:t>A child wearing a family name enters the home not because of a perfect record that day, but because belonging has already been established.</w:t>
      </w:r>
    </w:p>
    <w:p>
      <w:r>
        <w:rPr>
          <w:b/>
        </w:rPr>
        <w:t xml:space="preserve">Application: </w:t>
      </w:r>
      <w:r>
        <w:t>Bring your whole self to the Lord: sin confessed, weakness admitted, and trust placed in Christ alone.</w:t>
      </w:r>
    </w:p>
    <w:p>
      <w:pPr>
        <w:pStyle w:val="Heading1"/>
      </w:pPr>
      <w:r>
        <w:t>4. Come to be nourished for joyful service</w:t>
      </w:r>
    </w:p>
    <w:p>
      <w:r>
        <w:rPr>
          <w:b/>
        </w:rPr>
        <w:t xml:space="preserve">Explanation: </w:t>
      </w:r>
      <w:r>
        <w:t>The Lord’s Supper strengthens the church for holiness. Christ does not merely quiet guilt; he draws his people near, feeds them, guards them from evil, and frees them for glad service.</w:t>
      </w:r>
    </w:p>
    <w:p>
      <w:r>
        <w:rPr>
          <w:b/>
        </w:rPr>
        <w:t xml:space="preserve">Hymn Connection: </w:t>
      </w:r>
      <w:r>
        <w:t>The hymn ends with a prayer for nearness, deliverance, gladness, and perseverance. The table sends the forgiven into the world as servants of Christ.</w:t>
      </w:r>
    </w:p>
    <w:p>
      <w:r>
        <w:rPr>
          <w:b/>
        </w:rPr>
        <w:t xml:space="preserve">Biblical Support: </w:t>
      </w:r>
      <w:r>
        <w:t>John 6:51; 1 Corinthians 11:26</w:t>
      </w:r>
    </w:p>
    <w:p>
      <w:r>
        <w:rPr>
          <w:b/>
        </w:rPr>
        <w:t xml:space="preserve">Illustration Idea: </w:t>
      </w:r>
      <w:r>
        <w:t>A meal does more than mark relationship; it sustains life for the work ahead.</w:t>
      </w:r>
    </w:p>
    <w:p>
      <w:r>
        <w:rPr>
          <w:b/>
        </w:rPr>
        <w:t xml:space="preserve">Application: </w:t>
      </w:r>
      <w:r>
        <w:t>After receiving grace, ask where Christ is making you glad and free to serve: in reconciliation, mercy, witness, or patient obedience.</w:t>
      </w:r>
    </w:p>
    <w:p>
      <w:pPr>
        <w:pStyle w:val="Heading1"/>
      </w:pPr>
      <w:r>
        <w:t>Christ-Centered Connection</w:t>
      </w:r>
    </w:p>
    <w:p>
      <w:r>
        <w:t>The table is Christ-centered because salvation is Christ-centered. The Father receives sinners through the Son’s sacrifice, keeps them through the Son’s intercession, clothes them in the Son’s righteousness, and nourishes them by the Son’s life. Communion is therefore not a display of the church’s worthiness, but a proclamation of the Savior’s sufficiency.</w:t>
      </w:r>
    </w:p>
    <w:p>
      <w:pPr>
        <w:pStyle w:val="Heading1"/>
      </w:pPr>
      <w:r>
        <w:t>Pastoral Applications</w:t>
      </w:r>
    </w:p>
    <w:p>
      <w:pPr>
        <w:pStyle w:val="ListBullet"/>
        <w:spacing w:after="20"/>
        <w:ind w:left="317"/>
      </w:pPr>
      <w:r>
        <w:t>To the anxious: Christ’s intercession is stronger than your self-accusation.</w:t>
      </w:r>
    </w:p>
    <w:p>
      <w:pPr>
        <w:pStyle w:val="ListBullet"/>
        <w:spacing w:after="20"/>
        <w:ind w:left="317"/>
      </w:pPr>
      <w:r>
        <w:t>To the repentant: do not hide from the table; come confessing and trusting.</w:t>
      </w:r>
    </w:p>
    <w:p>
      <w:pPr>
        <w:pStyle w:val="ListBullet"/>
        <w:spacing w:after="20"/>
        <w:ind w:left="317"/>
      </w:pPr>
      <w:r>
        <w:t>To the weary: Christ gives grace that nourishes perseverance.</w:t>
      </w:r>
    </w:p>
    <w:p>
      <w:pPr>
        <w:pStyle w:val="ListBullet"/>
        <w:spacing w:after="20"/>
        <w:ind w:left="317"/>
      </w:pPr>
      <w:r>
        <w:t>To the serving: glad service grows from received mercy, not from spiritual exhaustion.</w:t>
      </w:r>
    </w:p>
    <w:p>
      <w:pPr>
        <w:pStyle w:val="ListBullet"/>
        <w:spacing w:after="20"/>
        <w:ind w:left="317"/>
      </w:pPr>
      <w:r>
        <w:t>To the doubting: look again to the objective work of Christ - offered once for all and alive forever.</w:t>
      </w:r>
    </w:p>
    <w:p>
      <w:pPr>
        <w:pStyle w:val="Heading1"/>
      </w:pPr>
      <w:r>
        <w:t>Conclusion and Call to Response</w:t>
      </w:r>
    </w:p>
    <w:p>
      <w:r>
        <w:t>Come to the Father mindful of the love. Come not because your prayers are strong enough, but because Christ’s priesthood is perfect. Come not because your faith is bright enough, but because the Son is the light of the world. Come to confess, receive, worship, and go forth in glad service.</w:t>
      </w:r>
    </w:p>
    <w:p>
      <w:pPr>
        <w:pStyle w:val="Heading1"/>
      </w:pPr>
      <w:r>
        <w:t>Suggested Closing Prayer</w:t>
      </w:r>
    </w:p>
    <w:p>
      <w:r>
        <w:t>Merciful Father, look on us in your beloved Son. We remember his cross, trust his intercession, and receive his grace. Feed us with the life of Christ, deliver us from evil, and make us glad and free in your service.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6332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E4D2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 Now, O Father, Mindful of the Love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