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color w:val="4A2E20"/>
        </w:rPr>
        <w:t>And Now, O Father, Mindful of the Love</w:t>
      </w:r>
    </w:p>
    <w:p>
      <w:pPr>
        <w:jc w:val="center"/>
      </w:pPr>
      <w:r>
        <w:rPr>
          <w:i/>
          <w:color w:val="6E5644"/>
          <w:sz w:val="20"/>
        </w:rPr>
        <w:t>A small group study on Communion, intercession, assurance, and union with Christ</w:t>
      </w:r>
    </w:p>
    <w:p>
      <w:pPr>
        <w:jc w:val="center"/>
      </w:pPr>
      <w:r>
        <w:rPr>
          <w:color w:val="5A5A5A"/>
          <w:sz w:val="18"/>
        </w:rPr>
        <w:t>First line: “And now, O Father, mindful of the love”</w:t>
      </w:r>
    </w:p>
    <w:p>
      <w:pPr>
        <w:pStyle w:val="Heading1"/>
      </w:pPr>
      <w:r>
        <w:t>Purpose of the Study</w:t>
      </w:r>
    </w:p>
    <w:p>
      <w:r>
        <w:t>This study helps a group approach the Lord’s Supper with reverence and confidence. The hymn teaches believers to look to Christ’s finished sacrifice, his continuing intercession, and the grace that nourishes holy service.</w:t>
      </w:r>
    </w:p>
    <w:p>
      <w:pPr>
        <w:pStyle w:val="Heading1"/>
      </w:pPr>
      <w:r>
        <w:t>Opening Reflection</w:t>
      </w:r>
    </w:p>
    <w:p>
      <w:pPr>
        <w:pStyle w:val="ListBullet"/>
        <w:spacing w:after="20"/>
        <w:ind w:left="317"/>
      </w:pPr>
      <w:r>
        <w:t>What thoughts or feelings usually come to you before receiving Communion?</w:t>
      </w:r>
    </w:p>
    <w:p>
      <w:pPr>
        <w:pStyle w:val="ListBullet"/>
        <w:spacing w:after="20"/>
        <w:ind w:left="317"/>
      </w:pPr>
      <w:r>
        <w:t>Why is it possible to confess sin honestly without losing assurance?</w:t>
      </w:r>
    </w:p>
    <w:p>
      <w:pPr>
        <w:pStyle w:val="ListBullet"/>
        <w:spacing w:after="20"/>
        <w:ind w:left="317"/>
      </w:pPr>
      <w:r>
        <w:t>How does remembering Christ’s love change the way we pray, worship, and serve?</w:t>
      </w:r>
    </w:p>
    <w:p>
      <w:pPr>
        <w:pStyle w:val="Heading1"/>
      </w:pPr>
      <w:r>
        <w:t>Brief Hymn Background</w:t>
      </w:r>
    </w:p>
    <w:tbl>
      <w:tblPr>
        <w:tblStyle w:val="TableGrid"/>
        <w:tblW w:type="auto" w:w="0"/>
        <w:jc w:val="center"/>
        <w:tblLook w:firstColumn="1" w:firstRow="1" w:lastColumn="0" w:lastRow="0" w:noHBand="0" w:noVBand="1" w:val="04A0"/>
      </w:tblPr>
      <w:tblGrid>
        <w:gridCol w:w="5184"/>
        <w:gridCol w:w="5184"/>
      </w:tblGrid>
      <w:tr>
        <w:tc>
          <w:tcPr>
            <w:tcW w:type="dxa" w:w="5184"/>
            <w:shd w:fill="F1E4D2"/>
          </w:tcPr>
          <w:p>
            <w:r/>
            <w:r>
              <w:rPr>
                <w:b/>
                <w:color w:val="5A3323"/>
                <w:sz w:val="18"/>
              </w:rPr>
              <w:t>Text</w:t>
            </w:r>
          </w:p>
        </w:tc>
        <w:tc>
          <w:tcPr>
            <w:tcW w:type="dxa" w:w="5184"/>
          </w:tcPr>
          <w:p>
            <w:r/>
            <w:r>
              <w:rPr>
                <w:b w:val="0"/>
                <w:color w:val="222222"/>
                <w:sz w:val="18"/>
              </w:rPr>
              <w:t>William Bright (1824-1901), English Anglican priest, theologian, and hymn writer</w:t>
            </w:r>
          </w:p>
        </w:tc>
      </w:tr>
      <w:tr>
        <w:tc>
          <w:tcPr>
            <w:tcW w:type="dxa" w:w="5184"/>
            <w:shd w:fill="F1E4D2"/>
          </w:tcPr>
          <w:p>
            <w:r/>
            <w:r>
              <w:rPr>
                <w:b/>
                <w:color w:val="5A3323"/>
                <w:sz w:val="18"/>
              </w:rPr>
              <w:t>Tune</w:t>
            </w:r>
          </w:p>
        </w:tc>
        <w:tc>
          <w:tcPr>
            <w:tcW w:type="dxa" w:w="5184"/>
          </w:tcPr>
          <w:p>
            <w:r/>
            <w:r>
              <w:rPr>
                <w:b w:val="0"/>
                <w:color w:val="222222"/>
                <w:sz w:val="18"/>
              </w:rPr>
              <w:t>UNDE ET MEMORES by William Henry Monk (1823-1889)</w:t>
            </w:r>
          </w:p>
        </w:tc>
      </w:tr>
      <w:tr>
        <w:tc>
          <w:tcPr>
            <w:tcW w:type="dxa" w:w="5184"/>
            <w:shd w:fill="F1E4D2"/>
          </w:tcPr>
          <w:p>
            <w:r/>
            <w:r>
              <w:rPr>
                <w:b/>
                <w:color w:val="5A3323"/>
                <w:sz w:val="18"/>
              </w:rPr>
              <w:t>Publication setting</w:t>
            </w:r>
          </w:p>
        </w:tc>
        <w:tc>
          <w:tcPr>
            <w:tcW w:type="dxa" w:w="5184"/>
          </w:tcPr>
          <w:p>
            <w:r/>
            <w:r>
              <w:rPr>
                <w:b w:val="0"/>
                <w:color w:val="222222"/>
                <w:sz w:val="18"/>
              </w:rPr>
              <w:t>First published in 1873 as a Eucharistic hymn and later widely used in Communion worship</w:t>
            </w:r>
          </w:p>
        </w:tc>
      </w:tr>
      <w:tr>
        <w:tc>
          <w:tcPr>
            <w:tcW w:type="dxa" w:w="5184"/>
            <w:shd w:fill="F1E4D2"/>
          </w:tcPr>
          <w:p>
            <w:r/>
            <w:r>
              <w:rPr>
                <w:b/>
                <w:color w:val="5A3323"/>
                <w:sz w:val="18"/>
              </w:rPr>
              <w:t>Use</w:t>
            </w:r>
          </w:p>
        </w:tc>
        <w:tc>
          <w:tcPr>
            <w:tcW w:type="dxa" w:w="5184"/>
          </w:tcPr>
          <w:p>
            <w:r/>
            <w:r>
              <w:rPr>
                <w:b w:val="0"/>
                <w:color w:val="222222"/>
                <w:sz w:val="18"/>
              </w:rPr>
              <w:t>Holy Communion, Maundy Thursday, Passiontide, confession, assurance, and sacramental devotion</w:t>
            </w:r>
          </w:p>
        </w:tc>
      </w:tr>
    </w:tbl>
    <w:p>
      <w:pPr>
        <w:pStyle w:val="Heading1"/>
      </w:pPr>
      <w:r>
        <w:t>Primary Scripture and Supporting Passages</w:t>
      </w:r>
    </w:p>
    <w:p>
      <w:pPr>
        <w:pStyle w:val="ListBullet"/>
        <w:spacing w:after="20"/>
        <w:ind w:left="317"/>
      </w:pPr>
      <w:r>
        <w:t>Hebrews 7:25-27 - Christ lives forever to intercede and offered himself once for all.</w:t>
      </w:r>
    </w:p>
    <w:p>
      <w:pPr>
        <w:pStyle w:val="ListBullet"/>
        <w:spacing w:after="20"/>
        <w:ind w:left="317"/>
      </w:pPr>
      <w:r>
        <w:t>Hebrews 10:10-12 - The once-for-all offering of Christ sanctifies his people.</w:t>
      </w:r>
    </w:p>
    <w:p>
      <w:pPr>
        <w:pStyle w:val="ListBullet"/>
        <w:spacing w:after="20"/>
        <w:ind w:left="317"/>
      </w:pPr>
      <w:r>
        <w:t>Romans 8:33-34 - The crucified, risen, and interceding Christ is the believer’s confidence.</w:t>
      </w:r>
    </w:p>
    <w:p>
      <w:pPr>
        <w:pStyle w:val="ListBullet"/>
        <w:spacing w:after="20"/>
        <w:ind w:left="317"/>
      </w:pPr>
      <w:r>
        <w:t>1 Corinthians 11:23-26 - The Lord’s Supper remembers and proclaims Christ’s death until he comes.</w:t>
      </w:r>
    </w:p>
    <w:p>
      <w:pPr>
        <w:pStyle w:val="ListBullet"/>
        <w:spacing w:after="20"/>
        <w:ind w:left="317"/>
      </w:pPr>
      <w:r>
        <w:t>Philippians 3:9 - Believers are found in Christ, clothed in righteousness received by faith.</w:t>
      </w:r>
    </w:p>
    <w:p>
      <w:pPr>
        <w:pStyle w:val="Heading1"/>
      </w:pPr>
      <w:r>
        <w:t>Stanza-by-Stanza Study</w:t>
      </w:r>
    </w:p>
    <w:p>
      <w:pPr>
        <w:pStyle w:val="Heading2"/>
      </w:pPr>
      <w:r>
        <w:t>Stanza 1 - Remembering the love of Christ</w:t>
      </w:r>
    </w:p>
    <w:p>
      <w:r>
        <w:t>The congregation approaches the Father by recalling the love revealed at Calvary. The hymn points to Christ’s one perfect sacrifice and his ongoing intercession above. Teaching focus: Communion rests on Christ’s completed work, not on the worthiness of the worshiper.</w:t>
      </w:r>
    </w:p>
    <w:p>
      <w:pPr>
        <w:pStyle w:val="Heading2"/>
      </w:pPr>
      <w:r>
        <w:t>Stanza 2 - Found in Christ</w:t>
      </w:r>
    </w:p>
    <w:p>
      <w:r>
        <w:t>The hymn faces spiritual failure with honesty: grace has been misused, prayer may be weak, and faith may be dim. Yet assurance comes because the Father looks on believers in the Son. Teaching focus: confession and confidence belong together when Christ stands between sin and judgment.</w:t>
      </w:r>
    </w:p>
    <w:p>
      <w:pPr>
        <w:pStyle w:val="Heading2"/>
      </w:pPr>
      <w:r>
        <w:t>Stanza 3 - Fed for glad service</w:t>
      </w:r>
    </w:p>
    <w:p>
      <w:r>
        <w:t>The final prayer asks the patient Savior to draw his people near, nourish them, guard them from evil, and make them glad and free in his service. Teaching focus: Communion strengthens union with Christ and sends believers into holy living.</w:t>
      </w:r>
    </w:p>
    <w:p>
      <w:pPr>
        <w:pStyle w:val="Heading1"/>
      </w:pPr>
      <w:r>
        <w:t>Study Table</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5A3323"/>
          </w:tcPr>
          <w:p>
            <w:r/>
            <w:r>
              <w:rPr>
                <w:b/>
                <w:color w:val="FFFFFF"/>
                <w:sz w:val="18"/>
              </w:rPr>
              <w:t>Hymn Theme</w:t>
            </w:r>
          </w:p>
        </w:tc>
        <w:tc>
          <w:tcPr>
            <w:tcW w:type="dxa" w:w="3456"/>
            <w:shd w:fill="5A3323"/>
          </w:tcPr>
          <w:p>
            <w:r/>
            <w:r>
              <w:rPr>
                <w:b/>
                <w:color w:val="FFFFFF"/>
                <w:sz w:val="18"/>
              </w:rPr>
              <w:t>Scripture Connection</w:t>
            </w:r>
          </w:p>
        </w:tc>
        <w:tc>
          <w:tcPr>
            <w:tcW w:type="dxa" w:w="3456"/>
            <w:shd w:fill="5A3323"/>
          </w:tcPr>
          <w:p>
            <w:r/>
            <w:r>
              <w:rPr>
                <w:b/>
                <w:color w:val="FFFFFF"/>
                <w:sz w:val="18"/>
              </w:rPr>
              <w:t>Discussion Prompt</w:t>
            </w:r>
          </w:p>
        </w:tc>
      </w:tr>
      <w:tr>
        <w:tc>
          <w:tcPr>
            <w:tcW w:type="dxa" w:w="3456"/>
          </w:tcPr>
          <w:p>
            <w:r/>
            <w:r>
              <w:rPr>
                <w:b w:val="0"/>
                <w:color w:val="222222"/>
                <w:sz w:val="18"/>
              </w:rPr>
              <w:t>Once-for-all sacrifice</w:t>
            </w:r>
          </w:p>
        </w:tc>
        <w:tc>
          <w:tcPr>
            <w:tcW w:type="dxa" w:w="3456"/>
          </w:tcPr>
          <w:p>
            <w:r/>
            <w:r>
              <w:rPr>
                <w:b w:val="0"/>
                <w:color w:val="222222"/>
                <w:sz w:val="18"/>
              </w:rPr>
              <w:t>Hebrews 10:10-12</w:t>
            </w:r>
          </w:p>
        </w:tc>
        <w:tc>
          <w:tcPr>
            <w:tcW w:type="dxa" w:w="3456"/>
          </w:tcPr>
          <w:p>
            <w:r/>
            <w:r>
              <w:rPr>
                <w:b w:val="0"/>
                <w:color w:val="222222"/>
                <w:sz w:val="18"/>
              </w:rPr>
              <w:t>Why must Communion point back to Christ’s completed offering?</w:t>
            </w:r>
          </w:p>
        </w:tc>
      </w:tr>
      <w:tr>
        <w:tc>
          <w:tcPr>
            <w:tcW w:type="dxa" w:w="3456"/>
          </w:tcPr>
          <w:p>
            <w:r/>
            <w:r>
              <w:rPr>
                <w:b w:val="0"/>
                <w:color w:val="222222"/>
                <w:sz w:val="18"/>
              </w:rPr>
              <w:t>Living intercession</w:t>
            </w:r>
          </w:p>
        </w:tc>
        <w:tc>
          <w:tcPr>
            <w:tcW w:type="dxa" w:w="3456"/>
          </w:tcPr>
          <w:p>
            <w:r/>
            <w:r>
              <w:rPr>
                <w:b w:val="0"/>
                <w:color w:val="222222"/>
                <w:sz w:val="18"/>
              </w:rPr>
              <w:t>Hebrews 7:25</w:t>
            </w:r>
          </w:p>
        </w:tc>
        <w:tc>
          <w:tcPr>
            <w:tcW w:type="dxa" w:w="3456"/>
          </w:tcPr>
          <w:p>
            <w:r/>
            <w:r>
              <w:rPr>
                <w:b w:val="0"/>
                <w:color w:val="222222"/>
                <w:sz w:val="18"/>
              </w:rPr>
              <w:t>How does Christ’s present ministry strengthen prayer?</w:t>
            </w:r>
          </w:p>
        </w:tc>
      </w:tr>
      <w:tr>
        <w:tc>
          <w:tcPr>
            <w:tcW w:type="dxa" w:w="3456"/>
          </w:tcPr>
          <w:p>
            <w:r/>
            <w:r>
              <w:rPr>
                <w:b w:val="0"/>
                <w:color w:val="222222"/>
                <w:sz w:val="18"/>
              </w:rPr>
              <w:t>Accepted in Christ</w:t>
            </w:r>
          </w:p>
        </w:tc>
        <w:tc>
          <w:tcPr>
            <w:tcW w:type="dxa" w:w="3456"/>
          </w:tcPr>
          <w:p>
            <w:r/>
            <w:r>
              <w:rPr>
                <w:b w:val="0"/>
                <w:color w:val="222222"/>
                <w:sz w:val="18"/>
              </w:rPr>
              <w:t>Philippians 3:9</w:t>
            </w:r>
          </w:p>
        </w:tc>
        <w:tc>
          <w:tcPr>
            <w:tcW w:type="dxa" w:w="3456"/>
          </w:tcPr>
          <w:p>
            <w:r/>
            <w:r>
              <w:rPr>
                <w:b w:val="0"/>
                <w:color w:val="222222"/>
                <w:sz w:val="18"/>
              </w:rPr>
              <w:t>What changes when we are seen as found in him?</w:t>
            </w:r>
          </w:p>
        </w:tc>
      </w:tr>
      <w:tr>
        <w:tc>
          <w:tcPr>
            <w:tcW w:type="dxa" w:w="3456"/>
          </w:tcPr>
          <w:p>
            <w:r/>
            <w:r>
              <w:rPr>
                <w:b w:val="0"/>
                <w:color w:val="222222"/>
                <w:sz w:val="18"/>
              </w:rPr>
              <w:t>Remembrance and proclamation</w:t>
            </w:r>
          </w:p>
        </w:tc>
        <w:tc>
          <w:tcPr>
            <w:tcW w:type="dxa" w:w="3456"/>
          </w:tcPr>
          <w:p>
            <w:r/>
            <w:r>
              <w:rPr>
                <w:b w:val="0"/>
                <w:color w:val="222222"/>
                <w:sz w:val="18"/>
              </w:rPr>
              <w:t>1 Corinthians 11:23-26</w:t>
            </w:r>
          </w:p>
        </w:tc>
        <w:tc>
          <w:tcPr>
            <w:tcW w:type="dxa" w:w="3456"/>
          </w:tcPr>
          <w:p>
            <w:r/>
            <w:r>
              <w:rPr>
                <w:b w:val="0"/>
                <w:color w:val="222222"/>
                <w:sz w:val="18"/>
              </w:rPr>
              <w:t>What do we proclaim when we receive the Supper?</w:t>
            </w:r>
          </w:p>
        </w:tc>
      </w:tr>
      <w:tr>
        <w:tc>
          <w:tcPr>
            <w:tcW w:type="dxa" w:w="3456"/>
          </w:tcPr>
          <w:p>
            <w:r/>
            <w:r>
              <w:rPr>
                <w:b w:val="0"/>
                <w:color w:val="222222"/>
                <w:sz w:val="18"/>
              </w:rPr>
              <w:t>Nourished for service</w:t>
            </w:r>
          </w:p>
        </w:tc>
        <w:tc>
          <w:tcPr>
            <w:tcW w:type="dxa" w:w="3456"/>
          </w:tcPr>
          <w:p>
            <w:r/>
            <w:r>
              <w:rPr>
                <w:b w:val="0"/>
                <w:color w:val="222222"/>
                <w:sz w:val="18"/>
              </w:rPr>
              <w:t>John 6:51</w:t>
            </w:r>
          </w:p>
        </w:tc>
        <w:tc>
          <w:tcPr>
            <w:tcW w:type="dxa" w:w="3456"/>
          </w:tcPr>
          <w:p>
            <w:r/>
            <w:r>
              <w:rPr>
                <w:b w:val="0"/>
                <w:color w:val="222222"/>
                <w:sz w:val="18"/>
              </w:rPr>
              <w:t>How should receiving grace lead to glad obedience?</w:t>
            </w:r>
          </w:p>
        </w:tc>
      </w:tr>
    </w:tbl>
    <w:p>
      <w:pPr>
        <w:pStyle w:val="Heading1"/>
      </w:pPr>
      <w:r>
        <w:t>Discussion Questions</w:t>
      </w:r>
    </w:p>
    <w:p>
      <w:pPr>
        <w:pStyle w:val="ListBullet"/>
        <w:spacing w:after="20"/>
        <w:ind w:left="317"/>
      </w:pPr>
      <w:r>
        <w:t>What does the hymn teach about approaching God through Christ rather than through personal merit?</w:t>
      </w:r>
    </w:p>
    <w:p>
      <w:pPr>
        <w:pStyle w:val="ListBullet"/>
        <w:spacing w:after="20"/>
        <w:ind w:left="317"/>
      </w:pPr>
      <w:r>
        <w:t>How do Hebrews 7 and Hebrews 10 hold together Christ’s finished sacrifice and continuing intercession?</w:t>
      </w:r>
    </w:p>
    <w:p>
      <w:pPr>
        <w:pStyle w:val="ListBullet"/>
        <w:spacing w:after="20"/>
        <w:ind w:left="317"/>
      </w:pPr>
      <w:r>
        <w:t>Why is it spiritually healthy to confess weak prayer and dim faith before the Lord?</w:t>
      </w:r>
    </w:p>
    <w:p>
      <w:pPr>
        <w:pStyle w:val="ListBullet"/>
        <w:spacing w:after="20"/>
        <w:ind w:left="317"/>
      </w:pPr>
      <w:r>
        <w:t>What does it mean to be “found in Christ” when conscience accuses us?</w:t>
      </w:r>
    </w:p>
    <w:p>
      <w:pPr>
        <w:pStyle w:val="ListBullet"/>
        <w:spacing w:after="20"/>
        <w:ind w:left="317"/>
      </w:pPr>
      <w:r>
        <w:t>How does Communion nourish the church for glad service rather than private comfort alone?</w:t>
      </w:r>
    </w:p>
    <w:p>
      <w:pPr>
        <w:pStyle w:val="ListBullet"/>
        <w:spacing w:after="20"/>
        <w:ind w:left="317"/>
      </w:pPr>
      <w:r>
        <w:t>What habits help a congregation receive the Lord’s Supper with both reverence and joy?</w:t>
      </w:r>
    </w:p>
    <w:p>
      <w:pPr>
        <w:pStyle w:val="ListBullet"/>
        <w:spacing w:after="20"/>
        <w:ind w:left="317"/>
      </w:pPr>
      <w:r>
        <w:t>How can this hymn help someone who feels unworthy to come to the table?</w:t>
      </w:r>
    </w:p>
    <w:p>
      <w:pPr>
        <w:pStyle w:val="ListBullet"/>
        <w:spacing w:after="20"/>
        <w:ind w:left="317"/>
      </w:pPr>
      <w:r>
        <w:t>What response of gratitude, repentance, or service is God calling from you this week?</w:t>
      </w:r>
    </w:p>
    <w:p>
      <w:pPr>
        <w:pStyle w:val="Heading1"/>
      </w:pPr>
      <w:r>
        <w:t>Practice This Week</w:t>
      </w:r>
    </w:p>
    <w:p>
      <w:pPr>
        <w:pStyle w:val="ListBullet"/>
        <w:spacing w:after="20"/>
        <w:ind w:left="317"/>
      </w:pPr>
      <w:r>
        <w:t>Read Hebrews 7:25-27 and pray with gratitude for Christ’s intercession.</w:t>
      </w:r>
    </w:p>
    <w:p>
      <w:pPr>
        <w:pStyle w:val="ListBullet"/>
        <w:spacing w:after="20"/>
        <w:ind w:left="317"/>
      </w:pPr>
      <w:r>
        <w:t>Before worship, confess sin honestly and then rest in Christ’s completed work.</w:t>
      </w:r>
    </w:p>
    <w:p>
      <w:pPr>
        <w:pStyle w:val="ListBullet"/>
        <w:spacing w:after="20"/>
        <w:ind w:left="317"/>
      </w:pPr>
      <w:r>
        <w:t>Encourage one believer who needs assurance that Christ receives sinners who come to him.</w:t>
      </w:r>
    </w:p>
    <w:p>
      <w:pPr>
        <w:pStyle w:val="ListBullet"/>
        <w:spacing w:after="20"/>
        <w:ind w:left="317"/>
      </w:pPr>
      <w:r>
        <w:t>Serve someone quietly as a response to the grace received at Christ’s table.</w:t>
      </w:r>
    </w:p>
    <w:p>
      <w:pPr>
        <w:pStyle w:val="Heading1"/>
      </w:pPr>
      <w:r>
        <w:t>Leader Notes</w:t>
      </w:r>
    </w:p>
    <w:p>
      <w:r>
        <w:t>Keep the group centered on Christ. If discussion becomes overly focused on personal worthiness, gently return to the hymn’s central comfort: the Father receives believers in the Son. Communion calls for repentance, but it also gives strong assurance because Christ is the sacrifice, the intercessor, and the living bread.</w:t>
      </w:r>
    </w:p>
    <w:p>
      <w:pPr>
        <w:pStyle w:val="Heading1"/>
      </w:pPr>
      <w:r>
        <w:t>Closing Prayer</w:t>
      </w:r>
    </w:p>
    <w:p>
      <w:r>
        <w:t>Father, we come to you through Jesus Christ, our perfect sacrifice and living intercessor. Teach us to confess sin without hiding, to receive grace without fear, and to serve you with glad and free hearts. Nourish us by Christ’s love and keep us near him until we see him face to face. Amen.</w:t>
      </w:r>
    </w:p>
    <w:p>
      <w:pPr>
        <w:jc w:val="center"/>
      </w:pPr>
      <w:r>
        <w:rPr>
          <w:color w:val="646464"/>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563323"/>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7E4D2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 Now, O Father, Mindful of the Love</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
</cp:coreProperties>
</file>