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5394960" cy="3034665"/>
            <wp:docPr id="1" name="Picture 1"/>
            <wp:cNvGraphicFramePr>
              <a:graphicFrameLocks noChangeAspect="1"/>
            </wp:cNvGraphicFramePr>
            <a:graphic>
              <a:graphicData uri="http://schemas.openxmlformats.org/drawingml/2006/picture">
                <pic:pic>
                  <pic:nvPicPr>
                    <pic:cNvPr id="0" name="road_16x9.jpg"/>
                    <pic:cNvPicPr/>
                  </pic:nvPicPr>
                  <pic:blipFill>
                    <a:blip r:embed="rId10"/>
                    <a:stretch>
                      <a:fillRect/>
                    </a:stretch>
                  </pic:blipFill>
                  <pic:spPr>
                    <a:xfrm>
                      <a:off x="0" y="0"/>
                      <a:ext cx="5394960" cy="3034665"/>
                    </a:xfrm>
                    <a:prstGeom prst="rect"/>
                  </pic:spPr>
                </pic:pic>
              </a:graphicData>
            </a:graphic>
          </wp:inline>
        </w:drawing>
      </w:r>
    </w:p>
    <w:p/>
    <w:p>
      <w:pPr>
        <w:jc w:val="center"/>
      </w:pPr>
      <w:r>
        <w:rPr>
          <w:b/>
          <w:color w:val="563619"/>
          <w:sz w:val="44"/>
        </w:rPr>
        <w:t>Sermon Outline: Make Me a Blessing</w:t>
      </w:r>
    </w:p>
    <w:p>
      <w:pPr>
        <w:jc w:val="center"/>
      </w:pPr>
      <w:r>
        <w:rPr>
          <w:i/>
          <w:color w:val="6E5A46"/>
          <w:sz w:val="20"/>
        </w:rPr>
        <w:t>Matthew 5:14-16; Genesis 12:2; John 15:12; James 2:15-17</w:t>
      </w:r>
    </w:p>
    <w:p>
      <w:pPr>
        <w:pStyle w:val="Heading2"/>
      </w:pPr>
      <w:r>
        <w:t>Sermon Title</w:t>
      </w:r>
    </w:p>
    <w:p>
      <w:r>
        <w:t>Make Me a Blessing: When Christ Shines Through an Ordinary Life</w:t>
      </w:r>
    </w:p>
    <w:p>
      <w:pPr>
        <w:pStyle w:val="Heading2"/>
      </w:pPr>
      <w:r>
        <w:t>Big Idea</w:t>
      </w:r>
    </w:p>
    <w:p>
      <w:r>
        <w:t>God blesses his people so that the light and love of Jesus may flow through them to weary, sorrowing, and helpless people today.</w:t>
      </w:r>
    </w:p>
    <w:p>
      <w:pPr>
        <w:pStyle w:val="Heading2"/>
      </w:pPr>
      <w:r>
        <w:t>Purpose Statement</w:t>
      </w:r>
    </w:p>
    <w:p>
      <w:r>
        <w:t>To call the congregation to a life of consecrated witness in which proclamation, integrity, generosity, and practical mercy belong together.</w:t>
      </w:r>
    </w:p>
    <w:p>
      <w:pPr>
        <w:pStyle w:val="Heading2"/>
      </w:pPr>
      <w:r>
        <w:t>Introduction</w:t>
      </w:r>
    </w:p>
    <w:p>
      <w:r>
        <w:t>The hymn begins not inside the church but “out in the highways and byways of life.” It places discipleship in the actual roads where people are tired, sad, burdened, and forgotten. Its refrain is not self-praise but petition: “Make me a blessing.”</w:t>
      </w:r>
    </w:p>
    <w:p>
      <w:pPr>
        <w:pStyle w:val="Heading2"/>
      </w:pPr>
      <w:r>
        <w:t>I. See the Need: “Many are weary and sad”</w:t>
      </w:r>
    </w:p>
    <w:p>
      <w:pPr>
        <w:pStyle w:val="ListBullet"/>
        <w:spacing w:after="40"/>
      </w:pPr>
      <w:r>
        <w:t>Matthew 5:14-16 calls disciples to visible light, not hidden religion.</w:t>
      </w:r>
    </w:p>
    <w:p>
      <w:pPr>
        <w:pStyle w:val="ListBullet"/>
        <w:spacing w:after="40"/>
      </w:pPr>
      <w:r>
        <w:t>The hymn teaches attentiveness: darkness, sorrow, weariness, and sadness are ministry signals.</w:t>
      </w:r>
    </w:p>
    <w:p>
      <w:pPr>
        <w:pStyle w:val="ListBullet"/>
        <w:spacing w:after="40"/>
      </w:pPr>
      <w:r>
        <w:t>Pastoral application: ask God to restore our ability to notice people rather than pass by them.</w:t>
      </w:r>
    </w:p>
    <w:tbl>
      <w:tblPr>
        <w:tblW w:type="auto" w:w="0"/>
        <w:jc w:val="center"/>
        <w:tblLook w:firstColumn="1" w:firstRow="1" w:lastColumn="0" w:lastRow="0" w:noHBand="0" w:noVBand="1" w:val="04A0"/>
      </w:tblPr>
      <w:tblGrid>
        <w:gridCol w:w="10224"/>
      </w:tblGrid>
      <w:tr>
        <w:tc>
          <w:tcPr>
            <w:tcW w:type="dxa" w:w="10224"/>
            <w:shd w:fill="F6E7D2"/>
          </w:tcPr>
          <w:p>
            <w:r>
              <w:rPr>
                <w:b/>
                <w:color w:val="563619"/>
                <w:sz w:val="20"/>
              </w:rPr>
              <w:t>Preaching Bridge</w:t>
              <w:br/>
            </w:r>
            <w:r>
              <w:rPr>
                <w:sz w:val="19"/>
              </w:rPr>
              <w:t>Christian service begins when we stop seeing interruptions and start seeing neighbors.</w:t>
            </w:r>
          </w:p>
        </w:tc>
      </w:tr>
    </w:tbl>
    <w:p/>
    <w:p>
      <w:pPr>
        <w:pStyle w:val="Heading2"/>
      </w:pPr>
      <w:r>
        <w:t>II. Tell the Story: “Tell the sweet story of Christ and His love”</w:t>
      </w:r>
    </w:p>
    <w:p>
      <w:pPr>
        <w:pStyle w:val="ListBullet"/>
        <w:spacing w:after="40"/>
      </w:pPr>
      <w:r>
        <w:t>The gospel must be spoken: Christ loves, forgives, restores, and saves.</w:t>
      </w:r>
    </w:p>
    <w:p>
      <w:pPr>
        <w:pStyle w:val="ListBullet"/>
        <w:spacing w:after="40"/>
      </w:pPr>
      <w:r>
        <w:t>The witness must be credible: “Others will trust Him if only you prove true.”</w:t>
      </w:r>
    </w:p>
    <w:p>
      <w:pPr>
        <w:pStyle w:val="ListBullet"/>
        <w:spacing w:after="40"/>
      </w:pPr>
      <w:r>
        <w:t>Sanctification and evangelism belong together because our life either confirms or contradicts our message.</w:t>
      </w:r>
    </w:p>
    <w:p>
      <w:pPr>
        <w:pStyle w:val="Heading2"/>
      </w:pPr>
      <w:r>
        <w:t>III. Give What You Have Received: “Give as ’twas given to you”</w:t>
      </w:r>
    </w:p>
    <w:p>
      <w:pPr>
        <w:pStyle w:val="ListBullet"/>
        <w:spacing w:after="40"/>
      </w:pPr>
      <w:r>
        <w:t>Genesis 12:2 reveals the pattern of blessing: blessed to be a blessing.</w:t>
      </w:r>
    </w:p>
    <w:p>
      <w:pPr>
        <w:pStyle w:val="ListBullet"/>
        <w:spacing w:after="40"/>
      </w:pPr>
      <w:r>
        <w:t>John 15:12 grounds love in the Master’s own love for us.</w:t>
      </w:r>
    </w:p>
    <w:p>
      <w:pPr>
        <w:pStyle w:val="ListBullet"/>
        <w:spacing w:after="40"/>
      </w:pPr>
      <w:r>
        <w:t>James 2:15-17 reminds us that faith must become practical mercy: food, help, presence, service, and justice.</w:t>
      </w:r>
    </w:p>
    <w:p>
      <w:pPr>
        <w:pStyle w:val="Heading2"/>
      </w:pPr>
      <w:r>
        <w:t>IV. Pray the Vocation: “Out of my life may Jesus shine”</w:t>
      </w:r>
    </w:p>
    <w:p>
      <w:pPr>
        <w:pStyle w:val="ListBullet"/>
        <w:spacing w:after="40"/>
      </w:pPr>
      <w:r>
        <w:t>The refrain keeps service humble: Jesus is the light; we are channels.</w:t>
      </w:r>
    </w:p>
    <w:p>
      <w:pPr>
        <w:pStyle w:val="ListBullet"/>
        <w:spacing w:after="40"/>
      </w:pPr>
      <w:r>
        <w:t>The prayer is daily and concrete: “to someone today.”</w:t>
      </w:r>
    </w:p>
    <w:p>
      <w:pPr>
        <w:pStyle w:val="ListBullet"/>
        <w:spacing w:after="40"/>
      </w:pPr>
      <w:r>
        <w:t>Invitation: make this prayer personal before naming a specific act of obedience.</w:t>
      </w:r>
    </w:p>
    <w:p>
      <w:pPr>
        <w:pStyle w:val="Heading2"/>
      </w:pPr>
      <w:r>
        <w:t>Illustration Ideas</w:t>
      </w:r>
    </w:p>
    <w:p>
      <w:pPr>
        <w:pStyle w:val="ListBullet"/>
        <w:spacing w:after="40"/>
      </w:pPr>
      <w:r>
        <w:t>A lamp is useful not because it draws attention to itself, but because it gives light to a room.</w:t>
      </w:r>
    </w:p>
    <w:p>
      <w:pPr>
        <w:pStyle w:val="ListBullet"/>
        <w:spacing w:after="40"/>
      </w:pPr>
      <w:r>
        <w:t>A small act of kindness can become a doorway for gospel conversation.</w:t>
      </w:r>
    </w:p>
    <w:p>
      <w:pPr>
        <w:pStyle w:val="ListBullet"/>
        <w:spacing w:after="40"/>
      </w:pPr>
      <w:r>
        <w:t>A church mission project can move from “program” to “blessing” when names and needs become personal.</w:t>
      </w:r>
    </w:p>
    <w:p>
      <w:pPr>
        <w:pStyle w:val="Heading2"/>
      </w:pPr>
      <w:r>
        <w:t>Conclusion and Call to Response</w:t>
      </w:r>
    </w:p>
    <w:p>
      <w:r>
        <w:t>The hymn does not ask, “Can I become impressive?” It asks, “Can Jesus shine through me today?” Invite worshipers to name one person, one need, and one concrete action. Then sing or pray the refrain as a commitment.</w:t>
      </w:r>
    </w:p>
    <w:p>
      <w:pPr>
        <w:pStyle w:val="Heading2"/>
      </w:pPr>
      <w:r>
        <w:t>Suggested Closing Prayer</w:t>
      </w:r>
    </w:p>
    <w:p>
      <w:r>
        <w:t>Savior, make us a blessing. Let your light shine through our words, our integrity, our generosity, and our practical care. Send us into the highways and byways with the love of Christ. Amen.</w:t>
      </w:r>
    </w:p>
    <w:p>
      <w:pPr>
        <w:pStyle w:val="Heading2"/>
      </w:pPr>
      <w:r>
        <w:t>Worship Planning Notes</w:t>
      </w:r>
    </w:p>
    <w:p>
      <w:pPr>
        <w:pStyle w:val="ListBullet"/>
        <w:spacing w:after="40"/>
      </w:pPr>
      <w:r>
        <w:t>Read Matthew 5:14-16 before singing and ask worshipers to listen for every image of light, witness, and good works.</w:t>
      </w:r>
    </w:p>
    <w:p>
      <w:pPr>
        <w:pStyle w:val="ListBullet"/>
        <w:spacing w:after="40"/>
      </w:pPr>
      <w:r>
        <w:t>Teach the hymn as a three-part movement: see human need, tell Christ's story, and serve with Christlike love.</w:t>
      </w:r>
    </w:p>
    <w:p>
      <w:pPr>
        <w:pStyle w:val="ListBullet"/>
        <w:spacing w:after="40"/>
      </w:pPr>
      <w:r>
        <w:t>Use the refrain as a spoken prayer of consecration before singing it, emphasizing the words 'out of my life may Jesus shine.'</w:t>
      </w:r>
    </w:p>
    <w:p>
      <w:pPr>
        <w:pStyle w:val="ListBullet"/>
        <w:spacing w:after="40"/>
      </w:pPr>
      <w:r>
        <w:t>Pair the hymn with a specific ministry opportunity so that its petitions lead directly to action.</w:t>
      </w:r>
    </w:p>
    <w:p>
      <w:pPr>
        <w:pStyle w:val="ListBullet"/>
        <w:spacing w:after="40"/>
      </w:pPr>
      <w:r>
        <w:t>Maintain a flowing 6/4 pulse and rehearse the page-spanning refrain carefully so the congregation breathes and phrases together.</w:t>
      </w:r>
    </w:p>
    <w:sectPr w:rsidR="00FC693F" w:rsidRPr="0006063C" w:rsidSect="00034616">
      <w:footerReference w:type="default" r:id="rId9"/>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6"/>
      </w:rPr>
      <w:t>HymnInfo Teaching Resource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634323"/>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634323"/>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63432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