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A341C"/>
          <w:sz w:val="48"/>
        </w:rPr>
        <w:t>More Like the Master</w:t>
      </w:r>
    </w:p>
    <w:p>
      <w:pPr>
        <w:jc w:val="center"/>
      </w:pPr>
      <w:r>
        <w:rPr>
          <w:i/>
          <w:color w:val="7A573A"/>
          <w:sz w:val="24"/>
        </w:rPr>
        <w:t>Sermon Outline</w:t>
      </w:r>
    </w:p>
    <w:p>
      <w:pPr>
        <w:jc w:val="center"/>
      </w:pPr>
      <w:r>
        <w:rPr>
          <w:color w:val="6B6B6B"/>
          <w:sz w:val="18"/>
        </w:rPr>
        <w:t>1906 • HANFORD • 10.10.11.11. with chorus</w:t>
      </w:r>
    </w:p>
    <w:p>
      <w:pPr>
        <w:jc w:val="center"/>
      </w:pPr>
      <w:r>
        <w:drawing>
          <wp:inline xmlns:a="http://schemas.openxmlformats.org/drawingml/2006/main" xmlns:pic="http://schemas.openxmlformats.org/drawingml/2006/picture">
            <wp:extent cx="6035040" cy="3396515"/>
            <wp:docPr id="1" name="Picture 1"/>
            <wp:cNvGraphicFramePr>
              <a:graphicFrameLocks noChangeAspect="1"/>
            </wp:cNvGraphicFramePr>
            <a:graphic>
              <a:graphicData uri="http://schemas.openxmlformats.org/drawingml/2006/picture">
                <pic:pic>
                  <pic:nvPicPr>
                    <pic:cNvPr id="0" name="cross_path.jpg"/>
                    <pic:cNvPicPr/>
                  </pic:nvPicPr>
                  <pic:blipFill>
                    <a:blip r:embed="rId9"/>
                    <a:stretch>
                      <a:fillRect/>
                    </a:stretch>
                  </pic:blipFill>
                  <pic:spPr>
                    <a:xfrm>
                      <a:off x="0" y="0"/>
                      <a:ext cx="6035040" cy="3396515"/>
                    </a:xfrm>
                    <a:prstGeom prst="rect"/>
                  </pic:spPr>
                </pic:pic>
              </a:graphicData>
            </a:graphic>
          </wp:inline>
        </w:drawing>
      </w:r>
    </w:p>
    <w:p>
      <w:pPr>
        <w:pStyle w:val="Heading1"/>
      </w:pPr>
      <w:r>
        <w:t>Sermon Title</w:t>
      </w:r>
    </w:p>
    <w:p>
      <w:r>
        <w:t>More Like the Master: The Heart God Takes, Cleanses, and Keeps</w:t>
      </w:r>
    </w:p>
    <w:p>
      <w:pPr>
        <w:pStyle w:val="Heading1"/>
      </w:pPr>
      <w:r>
        <w:t>Text</w:t>
      </w:r>
    </w:p>
    <w:p>
      <w:r>
        <w:t>Romans 8:29; Psalm 51:10-12; Philippians 2:5-7; Luke 9:23-24</w:t>
      </w:r>
    </w:p>
    <w:p>
      <w:pPr>
        <w:pStyle w:val="Heading1"/>
      </w:pPr>
      <w:r>
        <w:t>Proposition</w:t>
      </w:r>
    </w:p>
    <w:p>
      <w:r>
        <w:t>God’s saving purpose is to make redeemed people increasingly like Jesus, and He does this by taking the surrendered heart, cleansing it from sin, and forming it for humble service and mission.</w:t>
      </w:r>
    </w:p>
    <w:p>
      <w:pPr>
        <w:pStyle w:val="Heading1"/>
      </w:pPr>
      <w:r>
        <w:t>Purpose</w:t>
      </w:r>
    </w:p>
    <w:p>
      <w:r>
        <w:t>To call believers from vague admiration of Jesus to concrete conformity to Jesus in humility, holiness, courage, cross-bearing, love, and witness.</w:t>
      </w:r>
    </w:p>
    <w:p>
      <w:pPr>
        <w:pStyle w:val="Heading1"/>
      </w:pPr>
      <w:r>
        <w:t>Introduction</w:t>
      </w:r>
    </w:p>
    <w:p>
      <w:pPr>
        <w:pStyle w:val="ListBullet"/>
      </w:pPr>
      <w:r>
        <w:t>Many people admire Jesus; fewer intentionally ask to become like Him. This hymn presses beyond admiration into transformation.</w:t>
      </w:r>
    </w:p>
    <w:p>
      <w:pPr>
        <w:pStyle w:val="ListBullet"/>
      </w:pPr>
      <w:r>
        <w:t>The repeated word “more” is not spiritual insecurity. It is holy hunger: more meekness, more humility, more love, more courage, more consecration.</w:t>
      </w:r>
    </w:p>
    <w:p>
      <w:pPr>
        <w:pStyle w:val="ListBullet"/>
      </w:pPr>
      <w:r>
        <w:t>The chorus shows where transformation begins: “Take Thou my heart.” Before God shapes the hands, He claims the heart.</w:t>
      </w:r>
    </w:p>
    <w:p>
      <w:pPr>
        <w:pStyle w:val="Heading1"/>
      </w:pPr>
      <w:r>
        <w:t>I. God’s Purpose: Christlike Conformity</w:t>
      </w:r>
    </w:p>
    <w:p>
      <w:r>
        <w:t>Romans 8:29 teaches that God predestined His people to be conformed to the image of His Son.</w:t>
      </w:r>
    </w:p>
    <w:p>
      <w:r>
        <w:t>A. Christlikeness is not optional decoration; it is the shape of salvation.</w:t>
      </w:r>
    </w:p>
    <w:p>
      <w:r>
        <w:t>B. The Master is both Savior and pattern: we do not imitate Him to be saved; we are saved so that we may be made like Him.</w:t>
      </w:r>
    </w:p>
    <w:p>
      <w:r>
        <w:t>C. The hymn turns doctrine into prayer: “More like the Master I would ever be.”</w:t>
      </w:r>
    </w:p>
    <w:p>
      <w:r>
        <w:t>Illustration: A mirror does not create light; it reflects light. Sanctification is the Spirit polishing the mirror of the heart so Christ may be seen more clearly.</w:t>
      </w:r>
    </w:p>
    <w:p>
      <w:pPr>
        <w:pStyle w:val="Heading1"/>
      </w:pPr>
      <w:r>
        <w:t>II. The Master’s Character: Humility, Meekness, and Love</w:t>
      </w:r>
    </w:p>
    <w:p>
      <w:r>
        <w:t>Philippians 2:5-7 reveals the mind of Christ: humble, servant-hearted, self-giving.</w:t>
      </w:r>
    </w:p>
    <w:p>
      <w:r>
        <w:t>A. Meekness is strength surrendered to God, not weakness of personality.</w:t>
      </w:r>
    </w:p>
    <w:p>
      <w:r>
        <w:t>B. Humility is the refusal to make self the center of life.</w:t>
      </w:r>
    </w:p>
    <w:p>
      <w:r>
        <w:t>C. Love becomes visible in service to others, especially those who cannot repay us.</w:t>
      </w:r>
    </w:p>
    <w:p>
      <w:r>
        <w:t>Application: Ask where pride, resentment, self-protection, or indifference keeps you unlike the Master.</w:t>
      </w:r>
    </w:p>
    <w:p>
      <w:pPr>
        <w:pStyle w:val="Heading1"/>
      </w:pPr>
      <w:r>
        <w:t>III. The Master’s Path: Cross-Bearing and Consecrated Work</w:t>
      </w:r>
    </w:p>
    <w:p>
      <w:r>
        <w:t>Luke 9:23-24 anchors the hymn’s language of cross-bearing, courage, and self-denial.</w:t>
      </w:r>
    </w:p>
    <w:p>
      <w:r>
        <w:t>A. The cross is not mere inconvenience; it is faithful obedience when following Jesus costs us something.</w:t>
      </w:r>
    </w:p>
    <w:p>
      <w:r>
        <w:t>B. Consecration includes the ordinary work Christ bids us do, not only visible ministry moments.</w:t>
      </w:r>
    </w:p>
    <w:p>
      <w:r>
        <w:t>C. Courage to be true is needed when holiness is costly and witness is unpopular.</w:t>
      </w:r>
    </w:p>
    <w:p>
      <w:r>
        <w:t>Transition: Christlike character does not end in private holiness. The hymn turns outward: “the wanderer to win.”</w:t>
      </w:r>
    </w:p>
    <w:p>
      <w:pPr>
        <w:pStyle w:val="Heading1"/>
      </w:pPr>
      <w:r>
        <w:t>IV. The Master’s Mission: Spirit-Filled Service</w:t>
      </w:r>
    </w:p>
    <w:p>
      <w:r>
        <w:t>Galatians 5:22-23 shows the Spirit-produced fruit that makes Christlike mission credible.</w:t>
      </w:r>
    </w:p>
    <w:p>
      <w:r>
        <w:t>A. The church must not separate holiness from mission.</w:t>
      </w:r>
    </w:p>
    <w:p>
      <w:r>
        <w:t>B. The Spirit forms love and gentleness within us so that witness does not become harsh, proud, or mechanical.</w:t>
      </w:r>
    </w:p>
    <w:p>
      <w:r>
        <w:t>C. We seek wanderers not as projects, but as people whom the Master loves.</w:t>
      </w:r>
    </w:p>
    <w:p>
      <w:pPr>
        <w:pStyle w:val="Heading1"/>
      </w:pPr>
      <w:r>
        <w:t>V. The Needed Response: Take, Cleanse, Wash, and Keep My Heart</w:t>
      </w:r>
    </w:p>
    <w:p>
      <w:r>
        <w:t>Psalm 51:10-12 gives language for the chorus: clean heart, renewed spirit, restored joy, willing obedience.</w:t>
      </w:r>
    </w:p>
    <w:p>
      <w:r>
        <w:t>A. “Take Thou my heart” is a surrender of ownership.</w:t>
      </w:r>
    </w:p>
    <w:p>
      <w:r>
        <w:t>B. “Purge me from sin” is honest confession.</w:t>
      </w:r>
    </w:p>
    <w:p>
      <w:r>
        <w:t>C. “Keep me Thine forevermore” is dependence on preserving grace.</w:t>
      </w:r>
    </w:p>
    <w:p>
      <w:pPr>
        <w:pStyle w:val="Heading1"/>
      </w:pPr>
      <w:r>
        <w:t>Conclusion and Call</w:t>
      </w:r>
    </w:p>
    <w:p>
      <w:pPr>
        <w:pStyle w:val="ListBullet"/>
      </w:pPr>
      <w:r>
        <w:t>Do not ask only for a better week. Ask for a more Christlike life.</w:t>
      </w:r>
    </w:p>
    <w:p>
      <w:pPr>
        <w:pStyle w:val="ListBullet"/>
      </w:pPr>
      <w:r>
        <w:t>Do not offer God only your activity. Offer Him your heart.</w:t>
      </w:r>
    </w:p>
    <w:p>
      <w:pPr>
        <w:pStyle w:val="ListBullet"/>
      </w:pPr>
      <w:r>
        <w:t>Pray the chorus slowly as a personal act of surrender: Take, make, purge, wash, and keep.</w:t>
      </w:r>
    </w:p>
    <w:p>
      <w:pPr>
        <w:pStyle w:val="Heading1"/>
      </w:pPr>
      <w:r>
        <w:t>Suggested Closing Prayer</w:t>
      </w:r>
    </w:p>
    <w:p>
      <w:r>
        <w:t>Lord Jesus, make us more like You. Take our hearts, cleanse us, and keep us as Your own. Give us humility, love, courage, self-denial, and Spirit-filled concern for those who wander. Amen.</w:t>
      </w:r>
    </w:p>
    <w:sectPr w:rsidR="00FC693F" w:rsidRPr="0006063C" w:rsidSect="00034616">
      <w:pgSz w:w="12240" w:h="15840"/>
      <w:pgMar w:top="792"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7B3F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8A562B"/>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5A341C"/>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