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Georgia" w:hAnsi="Georgia"/>
          <w:b/>
          <w:color w:val="18253A"/>
          <w:sz w:val="44"/>
        </w:rPr>
        <w:t>Pass Me Not, O Gentle Savior</w:t>
      </w:r>
    </w:p>
    <w:p>
      <w:pPr>
        <w:jc w:val="center"/>
      </w:pPr>
      <w:r>
        <w:rPr>
          <w:rFonts w:ascii="Georgia" w:hAnsi="Georgia"/>
          <w:i/>
          <w:color w:val="743023"/>
          <w:sz w:val="22"/>
        </w:rPr>
        <w:t>Small Group Handout: Mercy, Prayer, and Trust in Christ</w:t>
      </w:r>
    </w:p>
    <w:p>
      <w:pPr>
        <w:pStyle w:val="Heading1"/>
        <w:spacing w:after="60" w:line="240" w:lineRule="auto"/>
      </w:pPr>
      <w:r>
        <w:t>Purpose</w:t>
      </w:r>
    </w:p>
    <w:p>
      <w:pPr>
        <w:spacing w:after="60" w:line="240" w:lineRule="auto"/>
      </w:pPr>
      <w:r>
        <w:t>This study helps a group pray the hymn with understanding: a humble cry for mercy, a trust in Christ’s merit, and a renewed confidence that the gentle Savior hears those who seek Him.</w:t>
      </w:r>
    </w:p>
    <w:p>
      <w:pPr>
        <w:pStyle w:val="Heading1"/>
        <w:spacing w:after="60" w:line="240" w:lineRule="auto"/>
      </w:pPr>
      <w:r>
        <w:t>Opening Reflection Questions</w:t>
      </w:r>
    </w:p>
    <w:p>
      <w:pPr>
        <w:pStyle w:val="ListBullet"/>
        <w:spacing w:after="30" w:line="240" w:lineRule="auto"/>
      </w:pPr>
      <w:r>
        <w:t>When have you found it difficult to ask for help in prayer?</w:t>
      </w:r>
    </w:p>
    <w:p>
      <w:pPr>
        <w:pStyle w:val="ListBullet"/>
        <w:spacing w:after="30" w:line="240" w:lineRule="auto"/>
      </w:pPr>
      <w:r>
        <w:t>What words would you use to describe the gentleness of Christ?</w:t>
      </w:r>
    </w:p>
    <w:p>
      <w:pPr>
        <w:pStyle w:val="ListBullet"/>
        <w:spacing w:after="30" w:line="240" w:lineRule="auto"/>
      </w:pPr>
      <w:r>
        <w:t>Why might a believer need both contrition and assurance at the same time?</w:t>
      </w:r>
    </w:p>
    <w:p>
      <w:pPr>
        <w:pStyle w:val="Heading1"/>
        <w:spacing w:after="60" w:line="240" w:lineRule="auto"/>
      </w:pPr>
      <w:r>
        <w:t>Brief Hymn Background</w:t>
      </w:r>
    </w:p>
    <w:p>
      <w:pPr>
        <w:spacing w:after="60" w:line="240" w:lineRule="auto"/>
      </w:pPr>
      <w:r>
        <w:t>Fanny J. Crosby wrote this hymn in 1868, and William H. Doane composed the tune PASS ME NOT. It was published in Doane’s Songs of Devotion for Christian Associations in 1870. A received account connects the hymn with a prison worship service in Manhattan, where a plea for the Lord not to pass by was remembered as the seed of the text. The hymn became widely used in prayer meetings, revival settings, and congregational worship as a song of personal petition and trust.</w:t>
      </w:r>
    </w:p>
    <w:p>
      <w:pPr>
        <w:pStyle w:val="Heading1"/>
        <w:spacing w:after="60" w:line="240" w:lineRule="auto"/>
      </w:pPr>
      <w:r>
        <w:t>Primary Scripture and Supporting Scriptures</w:t>
      </w:r>
    </w:p>
    <w:p>
      <w:pPr>
        <w:pStyle w:val="ListBullet"/>
        <w:spacing w:after="30" w:line="240" w:lineRule="auto"/>
      </w:pPr>
      <w:r>
        <w:t>Luke 18:38 - A blind man cries to Jesus for mercy.</w:t>
      </w:r>
    </w:p>
    <w:p>
      <w:pPr>
        <w:pStyle w:val="ListBullet"/>
        <w:spacing w:after="30" w:line="240" w:lineRule="auto"/>
      </w:pPr>
      <w:r>
        <w:t>Psalm 51:1-2 - The penitent seeks cleansing and mercy.</w:t>
      </w:r>
    </w:p>
    <w:p>
      <w:pPr>
        <w:pStyle w:val="ListBullet"/>
        <w:spacing w:after="30" w:line="240" w:lineRule="auto"/>
      </w:pPr>
      <w:r>
        <w:t>Hebrews 4:16 - Believers draw near to the throne of grace.</w:t>
      </w:r>
    </w:p>
    <w:p>
      <w:pPr>
        <w:pStyle w:val="ListBullet"/>
        <w:spacing w:after="30" w:line="240" w:lineRule="auto"/>
      </w:pPr>
      <w:r>
        <w:t>Mark 9:24 - Weak faith asks the Lord for help.</w:t>
      </w:r>
    </w:p>
    <w:p>
      <w:pPr>
        <w:pStyle w:val="ListBullet"/>
        <w:spacing w:after="30" w:line="240" w:lineRule="auto"/>
      </w:pPr>
      <w:r>
        <w:t>Psalm 73:25-26 - God is the strength and portion of the heart.</w:t>
      </w:r>
    </w:p>
    <w:p>
      <w:pPr>
        <w:pStyle w:val="Heading1"/>
        <w:spacing w:after="60" w:line="240" w:lineRule="auto"/>
      </w:pPr>
      <w:r>
        <w:t>Stanza-by-Stanza Study</w:t>
      </w:r>
    </w:p>
    <w:p>
      <w:pPr>
        <w:pStyle w:val="Heading2"/>
        <w:spacing w:after="60" w:line="240" w:lineRule="auto"/>
      </w:pPr>
      <w:r>
        <w:t>Stanza 1 - A humble cry</w:t>
      </w:r>
    </w:p>
    <w:p>
      <w:pPr>
        <w:spacing w:after="60" w:line="240" w:lineRule="auto"/>
      </w:pPr>
      <w:r>
        <w:t>The hymn begins with direct prayer to the gentle Savior. The singer is not bargaining with God or claiming deserving status, but asking to be heard. This aligns closely with Luke 18:38.</w:t>
      </w:r>
    </w:p>
    <w:p>
      <w:pPr>
        <w:pStyle w:val="Heading2"/>
        <w:spacing w:after="60" w:line="240" w:lineRule="auto"/>
      </w:pPr>
      <w:r>
        <w:t>Stanza 2 - At the throne of mercy</w:t>
      </w:r>
    </w:p>
    <w:p>
      <w:pPr>
        <w:spacing w:after="60" w:line="240" w:lineRule="auto"/>
      </w:pPr>
      <w:r>
        <w:t>The prayer moves into kneeling contrition. The heart seeks relief, and weak faith asks for help. Hebrews 4:16 gives the group a strong biblical frame for this movement.</w:t>
      </w:r>
    </w:p>
    <w:p>
      <w:pPr>
        <w:pStyle w:val="Heading2"/>
        <w:spacing w:after="60" w:line="240" w:lineRule="auto"/>
      </w:pPr>
      <w:r>
        <w:t>Stanza 3 - Trusting Christ’s merit</w:t>
      </w:r>
    </w:p>
    <w:p>
      <w:pPr>
        <w:spacing w:after="60" w:line="240" w:lineRule="auto"/>
      </w:pPr>
      <w:r>
        <w:t>The singer turns away from personal worthiness and seeks healing by grace. This is a useful place to discuss the difference between repentance and self-punishment.</w:t>
      </w:r>
    </w:p>
    <w:p>
      <w:pPr>
        <w:pStyle w:val="Heading2"/>
        <w:spacing w:after="60" w:line="240" w:lineRule="auto"/>
      </w:pPr>
      <w:r>
        <w:t>Stanza 4 - Christ as comfort</w:t>
      </w:r>
    </w:p>
    <w:p>
      <w:pPr>
        <w:spacing w:after="60" w:line="240" w:lineRule="auto"/>
      </w:pPr>
      <w:r>
        <w:t>The final movement rests in Christ as the soul’s deepest portion. Psalm 73:25-26 gives language for a faith that finds its greatest comfort in God Himself.</w:t>
      </w:r>
    </w:p>
    <w:p>
      <w:pPr>
        <w:pStyle w:val="Heading2"/>
        <w:spacing w:after="60" w:line="240" w:lineRule="auto"/>
      </w:pPr>
      <w:r>
        <w:t>Refrain - A shared prayer</w:t>
      </w:r>
    </w:p>
    <w:p>
      <w:pPr>
        <w:spacing w:after="60" w:line="240" w:lineRule="auto"/>
      </w:pPr>
      <w:r>
        <w:t>The refrain gives the whole group a simple cry for mercy that can be carried into personal prayer throughout the week.</w:t>
      </w:r>
    </w:p>
    <w:p>
      <w:pPr>
        <w:pStyle w:val="Heading1"/>
        <w:spacing w:after="60" w:line="240" w:lineRule="auto"/>
      </w:pPr>
      <w:r>
        <w:t>Study Table</w:t>
      </w:r>
    </w:p>
    <w:tbl>
      <w:tblPr>
        <w:tblStyle w:val="TableGrid"/>
        <w:tblW w:type="auto" w:w="0"/>
        <w:jc w:val="center"/>
        <w:tblLook w:firstColumn="1" w:firstRow="1" w:lastColumn="0" w:lastRow="0" w:noHBand="0" w:noVBand="1" w:val="04A0"/>
      </w:tblPr>
      <w:tblGrid>
        <w:gridCol w:w="3552"/>
        <w:gridCol w:w="3552"/>
        <w:gridCol w:w="3552"/>
      </w:tblGrid>
      <w:tr>
        <w:tc>
          <w:tcPr>
            <w:tcW w:type="dxa" w:w="3552"/>
            <w:shd w:fill="EAD7B5"/>
          </w:tcPr>
          <w:p>
            <w:pPr>
              <w:spacing w:after="40"/>
            </w:pPr>
            <w:r/>
            <w:r>
              <w:rPr>
                <w:b/>
                <w:color w:val="1C2D49"/>
                <w:sz w:val="19"/>
              </w:rPr>
              <w:t>Hymn Theme</w:t>
            </w:r>
          </w:p>
        </w:tc>
        <w:tc>
          <w:tcPr>
            <w:tcW w:type="dxa" w:w="3552"/>
            <w:shd w:fill="EAD7B5"/>
          </w:tcPr>
          <w:p>
            <w:pPr>
              <w:spacing w:after="40"/>
            </w:pPr>
            <w:r/>
            <w:r>
              <w:rPr>
                <w:b/>
                <w:color w:val="1C2D49"/>
                <w:sz w:val="19"/>
              </w:rPr>
              <w:t>Scripture Connection</w:t>
            </w:r>
          </w:p>
        </w:tc>
        <w:tc>
          <w:tcPr>
            <w:tcW w:type="dxa" w:w="3552"/>
            <w:shd w:fill="EAD7B5"/>
          </w:tcPr>
          <w:p>
            <w:pPr>
              <w:spacing w:after="40"/>
            </w:pPr>
            <w:r/>
            <w:r>
              <w:rPr>
                <w:b/>
                <w:color w:val="1C2D49"/>
                <w:sz w:val="19"/>
              </w:rPr>
              <w:t>Discussion Prompt</w:t>
            </w:r>
          </w:p>
        </w:tc>
      </w:tr>
      <w:tr>
        <w:tc>
          <w:tcPr>
            <w:tcW w:type="dxa" w:w="3552"/>
          </w:tcPr>
          <w:p>
            <w:pPr>
              <w:spacing w:after="40"/>
            </w:pPr>
            <w:r/>
            <w:r>
              <w:rPr>
                <w:b w:val="0"/>
                <w:color w:val="000000"/>
                <w:sz w:val="17"/>
              </w:rPr>
              <w:t>Prayer for mercy</w:t>
            </w:r>
          </w:p>
        </w:tc>
        <w:tc>
          <w:tcPr>
            <w:tcW w:type="dxa" w:w="3552"/>
          </w:tcPr>
          <w:p>
            <w:pPr>
              <w:spacing w:after="40"/>
            </w:pPr>
            <w:r/>
            <w:r>
              <w:rPr>
                <w:b w:val="0"/>
                <w:color w:val="000000"/>
                <w:sz w:val="17"/>
              </w:rPr>
              <w:t>Luke 18:38</w:t>
            </w:r>
          </w:p>
        </w:tc>
        <w:tc>
          <w:tcPr>
            <w:tcW w:type="dxa" w:w="3552"/>
          </w:tcPr>
          <w:p>
            <w:pPr>
              <w:spacing w:after="40"/>
            </w:pPr>
            <w:r/>
            <w:r>
              <w:rPr>
                <w:b w:val="0"/>
                <w:color w:val="000000"/>
                <w:sz w:val="17"/>
              </w:rPr>
              <w:t>What does this prayer teach us about approaching Jesus?</w:t>
            </w:r>
          </w:p>
        </w:tc>
      </w:tr>
      <w:tr>
        <w:tc>
          <w:tcPr>
            <w:tcW w:type="dxa" w:w="3552"/>
          </w:tcPr>
          <w:p>
            <w:pPr>
              <w:spacing w:after="40"/>
            </w:pPr>
            <w:r/>
            <w:r>
              <w:rPr>
                <w:b w:val="0"/>
                <w:color w:val="000000"/>
                <w:sz w:val="17"/>
              </w:rPr>
              <w:t>Contrition</w:t>
            </w:r>
          </w:p>
        </w:tc>
        <w:tc>
          <w:tcPr>
            <w:tcW w:type="dxa" w:w="3552"/>
          </w:tcPr>
          <w:p>
            <w:pPr>
              <w:spacing w:after="40"/>
            </w:pPr>
            <w:r/>
            <w:r>
              <w:rPr>
                <w:b w:val="0"/>
                <w:color w:val="000000"/>
                <w:sz w:val="17"/>
              </w:rPr>
              <w:t>Psalm 51:1-2</w:t>
            </w:r>
          </w:p>
        </w:tc>
        <w:tc>
          <w:tcPr>
            <w:tcW w:type="dxa" w:w="3552"/>
          </w:tcPr>
          <w:p>
            <w:pPr>
              <w:spacing w:after="40"/>
            </w:pPr>
            <w:r/>
            <w:r>
              <w:rPr>
                <w:b w:val="0"/>
                <w:color w:val="000000"/>
                <w:sz w:val="17"/>
              </w:rPr>
              <w:t>How can sorrow for sin lead toward hope?</w:t>
            </w:r>
          </w:p>
        </w:tc>
      </w:tr>
      <w:tr>
        <w:tc>
          <w:tcPr>
            <w:tcW w:type="dxa" w:w="3552"/>
          </w:tcPr>
          <w:p>
            <w:pPr>
              <w:spacing w:after="40"/>
            </w:pPr>
            <w:r/>
            <w:r>
              <w:rPr>
                <w:b w:val="0"/>
                <w:color w:val="000000"/>
                <w:sz w:val="17"/>
              </w:rPr>
              <w:t>Throne of grace</w:t>
            </w:r>
          </w:p>
        </w:tc>
        <w:tc>
          <w:tcPr>
            <w:tcW w:type="dxa" w:w="3552"/>
          </w:tcPr>
          <w:p>
            <w:pPr>
              <w:spacing w:after="40"/>
            </w:pPr>
            <w:r/>
            <w:r>
              <w:rPr>
                <w:b w:val="0"/>
                <w:color w:val="000000"/>
                <w:sz w:val="17"/>
              </w:rPr>
              <w:t>Hebrews 4:16</w:t>
            </w:r>
          </w:p>
        </w:tc>
        <w:tc>
          <w:tcPr>
            <w:tcW w:type="dxa" w:w="3552"/>
          </w:tcPr>
          <w:p>
            <w:pPr>
              <w:spacing w:after="40"/>
            </w:pPr>
            <w:r/>
            <w:r>
              <w:rPr>
                <w:b w:val="0"/>
                <w:color w:val="000000"/>
                <w:sz w:val="17"/>
              </w:rPr>
              <w:t>Why can believers come boldly and humbly at the same time?</w:t>
            </w:r>
          </w:p>
        </w:tc>
      </w:tr>
      <w:tr>
        <w:tc>
          <w:tcPr>
            <w:tcW w:type="dxa" w:w="3552"/>
          </w:tcPr>
          <w:p>
            <w:pPr>
              <w:spacing w:after="40"/>
            </w:pPr>
            <w:r/>
            <w:r>
              <w:rPr>
                <w:b w:val="0"/>
                <w:color w:val="000000"/>
                <w:sz w:val="17"/>
              </w:rPr>
              <w:t>Weak faith helped</w:t>
            </w:r>
          </w:p>
        </w:tc>
        <w:tc>
          <w:tcPr>
            <w:tcW w:type="dxa" w:w="3552"/>
          </w:tcPr>
          <w:p>
            <w:pPr>
              <w:spacing w:after="40"/>
            </w:pPr>
            <w:r/>
            <w:r>
              <w:rPr>
                <w:b w:val="0"/>
                <w:color w:val="000000"/>
                <w:sz w:val="17"/>
              </w:rPr>
              <w:t>Mark 9:24</w:t>
            </w:r>
          </w:p>
        </w:tc>
        <w:tc>
          <w:tcPr>
            <w:tcW w:type="dxa" w:w="3552"/>
          </w:tcPr>
          <w:p>
            <w:pPr>
              <w:spacing w:after="40"/>
            </w:pPr>
            <w:r/>
            <w:r>
              <w:rPr>
                <w:b w:val="0"/>
                <w:color w:val="000000"/>
                <w:sz w:val="17"/>
              </w:rPr>
              <w:t>Where do we need to pray, “Help my unbelief”?</w:t>
            </w:r>
          </w:p>
        </w:tc>
      </w:tr>
      <w:tr>
        <w:tc>
          <w:tcPr>
            <w:tcW w:type="dxa" w:w="3552"/>
          </w:tcPr>
          <w:p>
            <w:pPr>
              <w:spacing w:after="40"/>
            </w:pPr>
            <w:r/>
            <w:r>
              <w:rPr>
                <w:b w:val="0"/>
                <w:color w:val="000000"/>
                <w:sz w:val="17"/>
              </w:rPr>
              <w:t>Christ as comfort</w:t>
            </w:r>
          </w:p>
        </w:tc>
        <w:tc>
          <w:tcPr>
            <w:tcW w:type="dxa" w:w="3552"/>
          </w:tcPr>
          <w:p>
            <w:pPr>
              <w:spacing w:after="40"/>
            </w:pPr>
            <w:r/>
            <w:r>
              <w:rPr>
                <w:b w:val="0"/>
                <w:color w:val="000000"/>
                <w:sz w:val="17"/>
              </w:rPr>
              <w:t>Psalm 73:25-26</w:t>
            </w:r>
          </w:p>
        </w:tc>
        <w:tc>
          <w:tcPr>
            <w:tcW w:type="dxa" w:w="3552"/>
          </w:tcPr>
          <w:p>
            <w:pPr>
              <w:spacing w:after="40"/>
            </w:pPr>
            <w:r/>
            <w:r>
              <w:rPr>
                <w:b w:val="0"/>
                <w:color w:val="000000"/>
                <w:sz w:val="17"/>
              </w:rPr>
              <w:t>What comfort does Christ give that circumstances cannot?</w:t>
            </w:r>
          </w:p>
        </w:tc>
      </w:tr>
    </w:tbl>
    <w:p>
      <w:pPr>
        <w:pStyle w:val="Heading1"/>
        <w:spacing w:after="60" w:line="240" w:lineRule="auto"/>
      </w:pPr>
      <w:r>
        <w:t>Discussion Questions</w:t>
      </w:r>
    </w:p>
    <w:p>
      <w:pPr>
        <w:pStyle w:val="ListBullet"/>
        <w:spacing w:after="30" w:line="240" w:lineRule="auto"/>
      </w:pPr>
      <w:r>
        <w:t>What does the word “gentle” teach us about how the hymn addresses Christ?</w:t>
      </w:r>
    </w:p>
    <w:p>
      <w:pPr>
        <w:pStyle w:val="ListBullet"/>
        <w:spacing w:after="30" w:line="240" w:lineRule="auto"/>
      </w:pPr>
      <w:r>
        <w:t>How does Luke 18 help us hear the hymn’s prayer more clearly?</w:t>
      </w:r>
    </w:p>
    <w:p>
      <w:pPr>
        <w:pStyle w:val="ListBullet"/>
        <w:spacing w:after="30" w:line="240" w:lineRule="auto"/>
      </w:pPr>
      <w:r>
        <w:t>What is the difference between trusting Christ’s merit and trying to prove ourselves worthy?</w:t>
      </w:r>
    </w:p>
    <w:p>
      <w:pPr>
        <w:pStyle w:val="ListBullet"/>
        <w:spacing w:after="30" w:line="240" w:lineRule="auto"/>
      </w:pPr>
      <w:r>
        <w:t>How can confession of sin become a path toward assurance rather than despair?</w:t>
      </w:r>
    </w:p>
    <w:p>
      <w:pPr>
        <w:pStyle w:val="ListBullet"/>
        <w:spacing w:after="30" w:line="240" w:lineRule="auto"/>
      </w:pPr>
      <w:r>
        <w:t>Why might the refrain be especially helpful in personal prayer?</w:t>
      </w:r>
    </w:p>
    <w:p>
      <w:pPr>
        <w:pStyle w:val="ListBullet"/>
        <w:spacing w:after="30" w:line="240" w:lineRule="auto"/>
      </w:pPr>
      <w:r>
        <w:t>How can a church use this hymn without making Christ seem reluctant to hear?</w:t>
      </w:r>
    </w:p>
    <w:p>
      <w:pPr>
        <w:pStyle w:val="ListBullet"/>
        <w:spacing w:after="30" w:line="240" w:lineRule="auto"/>
      </w:pPr>
      <w:r>
        <w:t>Who in our congregation may need the comfort carried by this hymn?</w:t>
      </w:r>
    </w:p>
    <w:p>
      <w:pPr>
        <w:pStyle w:val="Heading1"/>
        <w:spacing w:after="60" w:line="240" w:lineRule="auto"/>
      </w:pPr>
      <w:r>
        <w:t>Practice This Week</w:t>
      </w:r>
    </w:p>
    <w:p>
      <w:pPr>
        <w:pStyle w:val="ListBullet"/>
        <w:spacing w:after="30" w:line="240" w:lineRule="auto"/>
      </w:pPr>
      <w:r>
        <w:t>Pray Hebrews 4:16 each morning, asking for mercy and grace for the day.</w:t>
      </w:r>
    </w:p>
    <w:p>
      <w:pPr>
        <w:pStyle w:val="ListBullet"/>
        <w:spacing w:after="30" w:line="240" w:lineRule="auto"/>
      </w:pPr>
      <w:r>
        <w:t>Name one spiritual wound or burden before Christ in prayer.</w:t>
      </w:r>
    </w:p>
    <w:p>
      <w:pPr>
        <w:pStyle w:val="ListBullet"/>
        <w:spacing w:after="30" w:line="240" w:lineRule="auto"/>
      </w:pPr>
      <w:r>
        <w:t>Encourage someone who feels overlooked, weak, or discouraged.</w:t>
      </w:r>
    </w:p>
    <w:p>
      <w:pPr>
        <w:pStyle w:val="ListBullet"/>
        <w:spacing w:after="30" w:line="240" w:lineRule="auto"/>
      </w:pPr>
      <w:r>
        <w:t>Use the refrain as a quiet prayer when you do not have many words.</w:t>
      </w:r>
    </w:p>
    <w:p>
      <w:pPr>
        <w:pStyle w:val="Heading1"/>
        <w:spacing w:after="60" w:line="240" w:lineRule="auto"/>
      </w:pPr>
      <w:r>
        <w:t>Optional Leader Notes</w:t>
      </w:r>
    </w:p>
    <w:p>
      <w:pPr>
        <w:spacing w:after="60" w:line="240" w:lineRule="auto"/>
      </w:pPr>
      <w:r>
        <w:t>Keep the discussion pastoral. The hymn is urgent because human need is real, not because Jesus is unwilling. Help the group see that the gentle Savior hears, receives, heals, and comforts those who come to Him.</w:t>
      </w:r>
    </w:p>
    <w:p>
      <w:pPr>
        <w:pStyle w:val="Heading1"/>
        <w:spacing w:after="60" w:line="240" w:lineRule="auto"/>
      </w:pPr>
      <w:r>
        <w:t>Closing Prayer</w:t>
      </w:r>
    </w:p>
    <w:p>
      <w:pPr>
        <w:spacing w:after="60" w:line="240" w:lineRule="auto"/>
      </w:pPr>
      <w:r>
        <w:t>Gentle Savior, hear our humble cry. Teach us to come to You with honest need, trusting Your mercy more than our worthiness. Heal what sin has wounded, strengthen weak faith, and make Yourself the comfort of our hearts. Amen.</w:t>
      </w:r>
    </w:p>
    <w:p>
      <w:pPr>
        <w:spacing w:after="60" w:line="240" w:lineRule="auto"/>
      </w:pPr>
      <w: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792" w:bottom="792"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4836"/>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Georgia" w:hAnsi="Georgia"/>
      <w:b/>
      <w:bCs/>
      <w:color w:val="1C2D4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Georgia" w:hAnsi="Georgia"/>
      <w:b/>
      <w:bCs/>
      <w:color w:val="743023"/>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 Me Not, O Gentle Savior</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