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When They Ring Those Golden Bells</w:t>
      </w:r>
    </w:p>
    <w:p>
      <w:pPr>
        <w:jc w:val="center"/>
      </w:pPr>
      <w:r>
        <w:rPr>
          <w:i/>
          <w:color w:val="5C5449"/>
          <w:sz w:val="21"/>
        </w:rPr>
        <w:t>A discussion guide on heavenly hope, faithful pilgrimage, and comfort in Christ</w:t>
      </w:r>
    </w:p>
    <w:p>
      <w:pPr>
        <w:jc w:val="center"/>
      </w:pPr>
      <w:r>
        <w:rPr>
          <w:color w:val="555555"/>
          <w:sz w:val="18"/>
        </w:rPr>
        <w:t>First line: There’s a land beyond the river  •  Dion De Marbelle, 1887</w:t>
      </w:r>
    </w:p>
    <w:p>
      <w:pPr>
        <w:pStyle w:val="Heading1"/>
      </w:pPr>
      <w:r>
        <w:t>Purpose of This Study</w:t>
      </w:r>
    </w:p>
    <w:p>
      <w:pPr>
        <w:spacing w:after="80" w:line="252" w:lineRule="auto"/>
      </w:pPr>
      <w:r>
        <w:t>This guide helps a small group consider how a gospel song about heaven can comfort the grieving, strengthen the weary, and point believers toward the biblical hope of life with God.</w:t>
      </w:r>
    </w:p>
    <w:p>
      <w:pPr>
        <w:pStyle w:val="Heading1"/>
      </w:pPr>
      <w:r>
        <w:t>Opening Reflection</w:t>
      </w:r>
    </w:p>
    <w:p>
      <w:pPr>
        <w:spacing w:after="80" w:line="252" w:lineRule="auto"/>
      </w:pPr>
      <w:r>
        <w:t>1. What images or songs have helped you think about heaven with hope rather than fear?</w:t>
      </w:r>
    </w:p>
    <w:p>
      <w:pPr>
        <w:spacing w:after="80" w:line="252" w:lineRule="auto"/>
      </w:pPr>
      <w:r>
        <w:t>2. Why do Christians need songs that speak honestly about death and hope?</w:t>
      </w:r>
    </w:p>
    <w:p>
      <w:pPr>
        <w:spacing w:after="80" w:line="252" w:lineRule="auto"/>
      </w:pPr>
      <w:r>
        <w:t>3. How can future hope strengthen faithfulness in ordinary life?</w:t>
      </w:r>
    </w:p>
    <w:p>
      <w:pPr>
        <w:pStyle w:val="Heading1"/>
      </w:pPr>
      <w:r>
        <w:t>Brief Hymn Background</w:t>
      </w:r>
    </w:p>
    <w:p>
      <w:pPr>
        <w:spacing w:after="80" w:line="252" w:lineRule="auto"/>
      </w:pPr>
      <w:r>
        <w:t>When They Ring Those Golden Bells was written and composed by Dion De Marbelle in 1887. It is also known by related titles such as “When They Ring the Golden Bells” and “There’s a Land Beyond the River.”</w:t>
      </w:r>
    </w:p>
    <w:p>
      <w:pPr>
        <w:spacing w:after="80" w:line="252" w:lineRule="auto"/>
      </w:pPr>
      <w:r>
        <w:t>The hymn belongs to the late nineteenth-century gospel song tradition. Its imagery of river, shore, heavenly welcome, and final rest made it especially useful in revival, quartet, bluegrass gospel, funeral, and sacred concert settings.</w:t>
      </w:r>
    </w:p>
    <w:p>
      <w:pPr>
        <w:spacing w:after="80" w:line="252" w:lineRule="auto"/>
      </w:pPr>
      <w:r>
        <w:t>De Marbelle is also identified in some historical listings as Daniel A. de Marbelle. Available records connect him with nineteenth-century American popular entertainment as well as this enduring sacred song.</w:t>
      </w:r>
    </w:p>
    <w:p>
      <w:pPr>
        <w:pStyle w:val="Heading1"/>
      </w:pPr>
      <w:r>
        <w:t>Primary Scripture and Supporting Passages</w:t>
      </w:r>
    </w:p>
    <w:p>
      <w:pPr>
        <w:spacing w:after="80" w:line="252" w:lineRule="auto"/>
      </w:pPr>
      <w:r>
        <w:t>Primary text: Revelation 21:2-4 — God dwells with his people, wipes away tears, and brings an end to death, mourning, crying, and pain.</w:t>
      </w:r>
    </w:p>
    <w:p>
      <w:pPr>
        <w:spacing w:after="80" w:line="252" w:lineRule="auto"/>
      </w:pPr>
      <w:r>
        <w:t>Supporting passages: Revelation 22:1-5; John 14:2-3; Hebrews 11:13-16; 2 Corinthians 5:1-8.</w:t>
      </w:r>
    </w:p>
    <w:p>
      <w:pPr>
        <w:spacing w:after="80" w:line="252" w:lineRule="auto"/>
      </w:pPr>
      <w:r>
        <w:t>Together these passages keep the hymn’s comfort rooted in God’s promised future, Christ’s prepared place, and the hope of being at home with the Lord.</w:t>
      </w:r>
    </w:p>
    <w:p>
      <w:pPr>
        <w:pStyle w:val="Heading1"/>
      </w:pPr>
      <w:r>
        <w:t>Hymn-Section Study</w:t>
      </w:r>
    </w:p>
    <w:p>
      <w:pPr>
        <w:spacing w:after="80" w:line="252" w:lineRule="auto"/>
      </w:pPr>
      <w:r>
        <w:t>The land beyond the river: The song pictures life with God as a country reached by faith. Hebrews 11 speaks of believers who desire a better, heavenly country. This image helps Christians see death not as the end of the story but as the threshold of God’s promised future.</w:t>
      </w:r>
    </w:p>
    <w:p>
      <w:pPr>
        <w:spacing w:after="80" w:line="252" w:lineRule="auto"/>
      </w:pPr>
      <w:r>
        <w:t>The ringing bells and joyful welcome: The bell imagery works as poetic celebration. It pictures the joy of the redeemed entering God’s presence. Revelation 21 and 22 give the deeper biblical promise: God will dwell with his people and they will see his face.</w:t>
      </w:r>
    </w:p>
    <w:p>
      <w:pPr>
        <w:spacing w:after="80" w:line="252" w:lineRule="auto"/>
      </w:pPr>
      <w:r>
        <w:t>No sin, sorrow, or final separation: The song’s comfort is strongest when connected to Revelation 21:4. Christian hope does not pretend sorrow is small; it trusts that God’s final renewal is greater.</w:t>
      </w:r>
    </w:p>
    <w:p>
      <w:pPr>
        <w:spacing w:after="80" w:line="252" w:lineRule="auto"/>
      </w:pPr>
      <w:r>
        <w:t>The final home of the faithful: The hymn points toward rest, reunion, and eternal fellowship with God. 2 Corinthians 5 gives pastoral confidence: believers walk by faith now and hope to be at home with the Lord.</w:t>
      </w:r>
    </w:p>
    <w:p>
      <w:pPr>
        <w:pStyle w:val="Heading1"/>
      </w:pPr>
      <w:r>
        <w:t>Study Table</w:t>
      </w:r>
    </w:p>
    <w:tbl>
      <w:tblPr>
        <w:tblW w:type="auto" w:w="0"/>
        <w:jc w:val="center"/>
        <w:tblLayout w:type="autofit"/>
        <w:tblLook w:firstColumn="1" w:firstRow="1" w:lastColumn="0" w:lastRow="0" w:noHBand="0" w:noVBand="1" w:val="04A0"/>
        <w:tblBorders>
          <w:top w:val="single" w:sz="6" w:space="0" w:color="B7A37A"/>
          <w:left w:val="single" w:sz="6" w:space="0" w:color="B7A37A"/>
          <w:bottom w:val="single" w:sz="6" w:space="0" w:color="B7A37A"/>
          <w:right w:val="single" w:sz="6" w:space="0" w:color="B7A37A"/>
          <w:insideH w:val="single" w:sz="6" w:space="0" w:color="B7A37A"/>
          <w:insideV w:val="single" w:sz="6" w:space="0" w:color="B7A37A"/>
        </w:tblBorders>
      </w:tblPr>
      <w:tblGrid>
        <w:gridCol w:w="3456"/>
        <w:gridCol w:w="3456"/>
        <w:gridCol w:w="3456"/>
      </w:tblGrid>
      <w:tr>
        <w:tc>
          <w:tcPr>
            <w:tcW w:type="dxa" w:w="3456"/>
            <w:shd w:fill="E8D9B5"/>
            <w:vAlign w:val="center"/>
          </w:tcPr>
          <w:p>
            <w:r/>
            <w:r>
              <w:rPr>
                <w:rFonts w:ascii="Aptos" w:hAnsi="Aptos"/>
                <w:b/>
                <w:sz w:val="19"/>
              </w:rPr>
              <w:t>Hymn Theme</w:t>
            </w:r>
          </w:p>
        </w:tc>
        <w:tc>
          <w:tcPr>
            <w:tcW w:type="dxa" w:w="3456"/>
            <w:shd w:fill="E8D9B5"/>
            <w:vAlign w:val="center"/>
          </w:tcPr>
          <w:p>
            <w:r/>
            <w:r>
              <w:rPr>
                <w:rFonts w:ascii="Aptos" w:hAnsi="Aptos"/>
                <w:b/>
                <w:sz w:val="19"/>
              </w:rPr>
              <w:t>Scripture Connection</w:t>
            </w:r>
          </w:p>
        </w:tc>
        <w:tc>
          <w:tcPr>
            <w:tcW w:type="dxa" w:w="3456"/>
            <w:shd w:fill="E8D9B5"/>
            <w:vAlign w:val="center"/>
          </w:tcPr>
          <w:p>
            <w:r/>
            <w:r>
              <w:rPr>
                <w:rFonts w:ascii="Aptos" w:hAnsi="Aptos"/>
                <w:b/>
                <w:sz w:val="19"/>
              </w:rPr>
              <w:t>Discussion Prompt</w:t>
            </w:r>
          </w:p>
        </w:tc>
      </w:tr>
      <w:tr>
        <w:tc>
          <w:tcPr>
            <w:tcW w:type="dxa" w:w="3456"/>
            <w:vAlign w:val="center"/>
          </w:tcPr>
          <w:p>
            <w:r/>
            <w:r>
              <w:rPr>
                <w:rFonts w:ascii="Aptos" w:hAnsi="Aptos"/>
                <w:b w:val="0"/>
                <w:sz w:val="19"/>
              </w:rPr>
              <w:t>Heavenly country</w:t>
            </w:r>
          </w:p>
        </w:tc>
        <w:tc>
          <w:tcPr>
            <w:tcW w:type="dxa" w:w="3456"/>
            <w:vAlign w:val="center"/>
          </w:tcPr>
          <w:p>
            <w:r/>
            <w:r>
              <w:rPr>
                <w:rFonts w:ascii="Aptos" w:hAnsi="Aptos"/>
                <w:b w:val="0"/>
                <w:sz w:val="19"/>
              </w:rPr>
              <w:t>Hebrews 11:13-16</w:t>
            </w:r>
          </w:p>
        </w:tc>
        <w:tc>
          <w:tcPr>
            <w:tcW w:type="dxa" w:w="3456"/>
            <w:vAlign w:val="center"/>
          </w:tcPr>
          <w:p>
            <w:r/>
            <w:r>
              <w:rPr>
                <w:rFonts w:ascii="Aptos" w:hAnsi="Aptos"/>
                <w:b w:val="0"/>
                <w:sz w:val="19"/>
              </w:rPr>
              <w:t>What does it mean to live as a pilgrim with a promised home?</w:t>
            </w:r>
          </w:p>
        </w:tc>
      </w:tr>
      <w:tr>
        <w:tc>
          <w:tcPr>
            <w:tcW w:type="dxa" w:w="3456"/>
            <w:vAlign w:val="center"/>
          </w:tcPr>
          <w:p>
            <w:r/>
            <w:r>
              <w:rPr>
                <w:rFonts w:ascii="Aptos" w:hAnsi="Aptos"/>
                <w:b w:val="0"/>
                <w:sz w:val="19"/>
              </w:rPr>
              <w:t>River of life</w:t>
            </w:r>
          </w:p>
        </w:tc>
        <w:tc>
          <w:tcPr>
            <w:tcW w:type="dxa" w:w="3456"/>
            <w:vAlign w:val="center"/>
          </w:tcPr>
          <w:p>
            <w:r/>
            <w:r>
              <w:rPr>
                <w:rFonts w:ascii="Aptos" w:hAnsi="Aptos"/>
                <w:b w:val="0"/>
                <w:sz w:val="19"/>
              </w:rPr>
              <w:t>Revelation 22:1-5</w:t>
            </w:r>
          </w:p>
        </w:tc>
        <w:tc>
          <w:tcPr>
            <w:tcW w:type="dxa" w:w="3456"/>
            <w:vAlign w:val="center"/>
          </w:tcPr>
          <w:p>
            <w:r/>
            <w:r>
              <w:rPr>
                <w:rFonts w:ascii="Aptos" w:hAnsi="Aptos"/>
                <w:b w:val="0"/>
                <w:sz w:val="19"/>
              </w:rPr>
              <w:t>How does biblical hope differ from vague optimism?</w:t>
            </w:r>
          </w:p>
        </w:tc>
      </w:tr>
      <w:tr>
        <w:tc>
          <w:tcPr>
            <w:tcW w:type="dxa" w:w="3456"/>
            <w:vAlign w:val="center"/>
          </w:tcPr>
          <w:p>
            <w:r/>
            <w:r>
              <w:rPr>
                <w:rFonts w:ascii="Aptos" w:hAnsi="Aptos"/>
                <w:b w:val="0"/>
                <w:sz w:val="19"/>
              </w:rPr>
              <w:t>End of sorrow</w:t>
            </w:r>
          </w:p>
        </w:tc>
        <w:tc>
          <w:tcPr>
            <w:tcW w:type="dxa" w:w="3456"/>
            <w:vAlign w:val="center"/>
          </w:tcPr>
          <w:p>
            <w:r/>
            <w:r>
              <w:rPr>
                <w:rFonts w:ascii="Aptos" w:hAnsi="Aptos"/>
                <w:b w:val="0"/>
                <w:sz w:val="19"/>
              </w:rPr>
              <w:t>Revelation 21:2-4</w:t>
            </w:r>
          </w:p>
        </w:tc>
        <w:tc>
          <w:tcPr>
            <w:tcW w:type="dxa" w:w="3456"/>
            <w:vAlign w:val="center"/>
          </w:tcPr>
          <w:p>
            <w:r/>
            <w:r>
              <w:rPr>
                <w:rFonts w:ascii="Aptos" w:hAnsi="Aptos"/>
                <w:b w:val="0"/>
                <w:sz w:val="19"/>
              </w:rPr>
              <w:t>What comfort does God give to grieving believers?</w:t>
            </w:r>
          </w:p>
        </w:tc>
      </w:tr>
      <w:tr>
        <w:tc>
          <w:tcPr>
            <w:tcW w:type="dxa" w:w="3456"/>
            <w:vAlign w:val="center"/>
          </w:tcPr>
          <w:p>
            <w:r/>
            <w:r>
              <w:rPr>
                <w:rFonts w:ascii="Aptos" w:hAnsi="Aptos"/>
                <w:b w:val="0"/>
                <w:sz w:val="19"/>
              </w:rPr>
              <w:t>Prepared place</w:t>
            </w:r>
          </w:p>
        </w:tc>
        <w:tc>
          <w:tcPr>
            <w:tcW w:type="dxa" w:w="3456"/>
            <w:vAlign w:val="center"/>
          </w:tcPr>
          <w:p>
            <w:r/>
            <w:r>
              <w:rPr>
                <w:rFonts w:ascii="Aptos" w:hAnsi="Aptos"/>
                <w:b w:val="0"/>
                <w:sz w:val="19"/>
              </w:rPr>
              <w:t>John 14:2-3</w:t>
            </w:r>
          </w:p>
        </w:tc>
        <w:tc>
          <w:tcPr>
            <w:tcW w:type="dxa" w:w="3456"/>
            <w:vAlign w:val="center"/>
          </w:tcPr>
          <w:p>
            <w:r/>
            <w:r>
              <w:rPr>
                <w:rFonts w:ascii="Aptos" w:hAnsi="Aptos"/>
                <w:b w:val="0"/>
                <w:sz w:val="19"/>
              </w:rPr>
              <w:t>How does Christ’s promise shape courage in death?</w:t>
            </w:r>
          </w:p>
        </w:tc>
      </w:tr>
      <w:tr>
        <w:tc>
          <w:tcPr>
            <w:tcW w:type="dxa" w:w="3456"/>
            <w:vAlign w:val="center"/>
          </w:tcPr>
          <w:p>
            <w:r/>
            <w:r>
              <w:rPr>
                <w:rFonts w:ascii="Aptos" w:hAnsi="Aptos"/>
                <w:b w:val="0"/>
                <w:sz w:val="19"/>
              </w:rPr>
              <w:t>Home with the Lord</w:t>
            </w:r>
          </w:p>
        </w:tc>
        <w:tc>
          <w:tcPr>
            <w:tcW w:type="dxa" w:w="3456"/>
            <w:vAlign w:val="center"/>
          </w:tcPr>
          <w:p>
            <w:r/>
            <w:r>
              <w:rPr>
                <w:rFonts w:ascii="Aptos" w:hAnsi="Aptos"/>
                <w:b w:val="0"/>
                <w:sz w:val="19"/>
              </w:rPr>
              <w:t>2 Corinthians 5:1-8</w:t>
            </w:r>
          </w:p>
        </w:tc>
        <w:tc>
          <w:tcPr>
            <w:tcW w:type="dxa" w:w="3456"/>
            <w:vAlign w:val="center"/>
          </w:tcPr>
          <w:p>
            <w:r/>
            <w:r>
              <w:rPr>
                <w:rFonts w:ascii="Aptos" w:hAnsi="Aptos"/>
                <w:b w:val="0"/>
                <w:sz w:val="19"/>
              </w:rPr>
              <w:t>How can future hope affect present faithfulness?</w:t>
            </w:r>
          </w:p>
        </w:tc>
      </w:tr>
    </w:tbl>
    <w:p>
      <w:pPr>
        <w:pStyle w:val="Heading1"/>
      </w:pPr>
      <w:r>
        <w:t>Discussion Questions</w:t>
      </w:r>
    </w:p>
    <w:p>
      <w:pPr>
        <w:spacing w:after="80" w:line="252" w:lineRule="auto"/>
      </w:pPr>
      <w:r>
        <w:t>1. What makes the hymn’s river and shore imagery pastorally powerful?</w:t>
      </w:r>
    </w:p>
    <w:p>
      <w:pPr>
        <w:spacing w:after="80" w:line="252" w:lineRule="auto"/>
      </w:pPr>
      <w:r>
        <w:t>2. Which phrase in Revelation 21:2-4 gives you the greatest comfort, and why?</w:t>
      </w:r>
    </w:p>
    <w:p>
      <w:pPr>
        <w:spacing w:after="80" w:line="252" w:lineRule="auto"/>
      </w:pPr>
      <w:r>
        <w:t>3. How can songs about heaven avoid becoming escapist?</w:t>
      </w:r>
    </w:p>
    <w:p>
      <w:pPr>
        <w:spacing w:after="80" w:line="252" w:lineRule="auto"/>
      </w:pPr>
      <w:r>
        <w:t>4. What does John 14 teach about the personal promise of Christ?</w:t>
      </w:r>
    </w:p>
    <w:p>
      <w:pPr>
        <w:spacing w:after="80" w:line="252" w:lineRule="auto"/>
      </w:pPr>
      <w:r>
        <w:t>5. Why has the hope of reunion mattered so deeply in gospel and funeral singing?</w:t>
      </w:r>
    </w:p>
    <w:p>
      <w:pPr>
        <w:spacing w:after="80" w:line="252" w:lineRule="auto"/>
      </w:pPr>
      <w:r>
        <w:t>6. How does the hope of heaven lead to courage, holiness, and witness now?</w:t>
      </w:r>
    </w:p>
    <w:p>
      <w:pPr>
        <w:spacing w:after="80" w:line="252" w:lineRule="auto"/>
      </w:pPr>
      <w:r>
        <w:t>7. How should a church sing this hymn with both joy and reverence?</w:t>
      </w:r>
    </w:p>
    <w:p>
      <w:pPr>
        <w:pStyle w:val="Heading1"/>
      </w:pPr>
      <w:r>
        <w:t>Practice This Week</w:t>
      </w:r>
    </w:p>
    <w:p>
      <w:pPr>
        <w:spacing w:after="80" w:line="252" w:lineRule="auto"/>
      </w:pPr>
      <w:r>
        <w:t>Read Revelation 21:2-4 aloud each day and name one sorrow you are entrusting to God’s promised future.</w:t>
      </w:r>
    </w:p>
    <w:p>
      <w:pPr>
        <w:spacing w:after="80" w:line="252" w:lineRule="auto"/>
      </w:pPr>
      <w:r>
        <w:t>Write a note of encouragement to someone who is grieving or carrying long-term weariness.</w:t>
      </w:r>
    </w:p>
    <w:p>
      <w:pPr>
        <w:spacing w:after="80" w:line="252" w:lineRule="auto"/>
      </w:pPr>
      <w:r>
        <w:t>Pray for courage to live as a pilgrim who belongs to Christ more deeply than to present circumstances.</w:t>
      </w:r>
    </w:p>
    <w:p>
      <w:pPr>
        <w:spacing w:after="80" w:line="252" w:lineRule="auto"/>
      </w:pPr>
      <w:r>
        <w:t>In private worship, thank God for the promise of being with the Lord.</w:t>
      </w:r>
    </w:p>
    <w:p>
      <w:pPr>
        <w:pStyle w:val="Heading1"/>
      </w:pPr>
      <w:r>
        <w:t>Optional Leader Notes</w:t>
      </w:r>
    </w:p>
    <w:p>
      <w:pPr>
        <w:spacing w:after="80" w:line="252" w:lineRule="auto"/>
      </w:pPr>
      <w:r>
        <w:t>Keep the group anchored in Scripture rather than speculation about heaven. Encourage honest grief and sturdy hope together.</w:t>
      </w:r>
    </w:p>
    <w:p>
      <w:pPr>
        <w:spacing w:after="80" w:line="252" w:lineRule="auto"/>
      </w:pPr>
      <w:r>
        <w:t>When discussing the hymn’s poetic images, distinguish between gospel-song imagination and the Bible’s direct promises.</w:t>
      </w:r>
    </w:p>
    <w:p>
      <w:pPr>
        <w:spacing w:after="80" w:line="252" w:lineRule="auto"/>
      </w:pPr>
      <w:r>
        <w:t>Invite participants to connect future hope with concrete present obedience: forgiveness, witness, endurance, and comfort for others.</w:t>
      </w:r>
    </w:p>
    <w:p>
      <w:pPr>
        <w:pStyle w:val="Heading1"/>
      </w:pPr>
      <w:r>
        <w:t>Closing Prayer</w:t>
      </w:r>
    </w:p>
    <w:p>
      <w:pPr>
        <w:spacing w:after="80" w:line="252" w:lineRule="auto"/>
      </w:pPr>
      <w:r>
        <w:t>Lord Jesus, you have promised to prepare a place for your people. Comfort those who grieve, steady those who fear, and teach us to walk by faith until we are at home with you. Let our hope in your coming kingdom make us faithful, tender, and courageous today. Amen.</w:t>
      </w:r>
    </w:p>
    <w:p>
      <w:pPr>
        <w:jc w:val="center"/>
      </w:pPr>
      <w:r>
        <w:rPr>
          <w:color w:val="646464"/>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864" w:right="936" w:bottom="864" w:left="936" w:header="720" w:footer="720" w:gutter="0"/>
      <w:cols w:space="720"/>
      <w:docGrid w:linePitch="360"/>
      <w:pgBorders w:offsetFrom="page">
        <w:top w:val="single" w:sz="8" w:space="24" w:color="C7A75A"/>
        <w:left w:val="single" w:sz="8" w:space="24" w:color="C7A75A"/>
        <w:bottom w:val="single" w:sz="8" w:space="24" w:color="C7A75A"/>
        <w:right w:val="single" w:sz="8" w:space="24" w:color="C7A75A"/>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A1702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2F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5C544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A1702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