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10,000 Reasons (Bless the Lord)</w:t>
      </w:r>
    </w:p>
    <w:p>
      <w:pPr>
        <w:jc w:val="center"/>
      </w:pPr>
      <w:r>
        <w:rPr>
          <w:color w:val="B07A39"/>
          <w:sz w:val="21"/>
        </w:rPr>
        <w:t>Sermon Outline: Blessing the Lord in every season</w:t>
      </w:r>
    </w:p>
    <w:p/>
    <w:p>
      <w:pPr>
        <w:pStyle w:val="Heading1"/>
        <w:spacing w:after="80" w:line="252" w:lineRule="auto"/>
      </w:pPr>
      <w:r>
        <w:t>Main Text and Supporting Scriptures</w:t>
      </w:r>
    </w:p>
    <w:p>
      <w:pPr>
        <w:spacing w:after="80" w:line="252" w:lineRule="auto"/>
      </w:pPr>
      <w:r>
        <w:t>Main text: Psalm 103:1-8. Supporting texts: Psalm 34:1; Psalm 145:2-3; Hebrews 13:15; Revelation 5:13.</w:t>
      </w:r>
    </w:p>
    <w:p>
      <w:pPr>
        <w:pStyle w:val="Heading1"/>
        <w:spacing w:after="80" w:line="252" w:lineRule="auto"/>
      </w:pPr>
      <w:r>
        <w:t>Big Idea</w:t>
      </w:r>
    </w:p>
    <w:p>
      <w:pPr>
        <w:spacing w:after="80" w:line="252" w:lineRule="auto"/>
      </w:pPr>
      <w:r>
        <w:t>Because God is merciful, gracious, and worthy, believers are called to bless the Lord with the whole self in daily life, difficult seasons, and eternal hope.</w:t>
      </w:r>
    </w:p>
    <w:p>
      <w:pPr>
        <w:pStyle w:val="Heading1"/>
        <w:spacing w:after="80" w:line="252" w:lineRule="auto"/>
      </w:pPr>
      <w:r>
        <w:t>Introduction</w:t>
      </w:r>
    </w:p>
    <w:p>
      <w:pPr>
        <w:spacing w:after="80" w:line="252" w:lineRule="auto"/>
      </w:pPr>
      <w:r>
        <w:t>Many Christians know the experience of singing praise while carrying weariness, grief, anxiety, or uncertainty. Psalm-shaped worship does not ignore these realities. It calls the soul to remember the Lord, not because life is easy, but because God is good and worthy in every season.</w:t>
      </w:r>
    </w:p>
    <w:p>
      <w:pPr>
        <w:pStyle w:val="Heading1"/>
        <w:spacing w:after="80" w:line="252" w:lineRule="auto"/>
      </w:pPr>
      <w:r>
        <w:t>1. Praise begins when the soul remembers God</w:t>
      </w:r>
    </w:p>
    <w:p>
      <w:pPr>
        <w:spacing w:after="80" w:line="252" w:lineRule="auto"/>
      </w:pPr>
      <w:r>
        <w:t>Explanation: Psalm 103 opens with a summons addressed inwardly: the worshiper speaks to the soul. Biblical praise is not only outward sound but inward reorientation.</w:t>
      </w:r>
    </w:p>
    <w:p>
      <w:pPr>
        <w:spacing w:after="80" w:line="252" w:lineRule="auto"/>
      </w:pPr>
      <w:r>
        <w:t>Song connection: The song carries this same summons into congregational worship by calling the whole self to bless the Lord.</w:t>
      </w:r>
    </w:p>
    <w:p>
      <w:pPr>
        <w:spacing w:after="80" w:line="252" w:lineRule="auto"/>
      </w:pPr>
      <w:r>
        <w:t>Biblical support: Psalm 103:1-2; Psalm 34:1</w:t>
      </w:r>
    </w:p>
    <w:p>
      <w:pPr>
        <w:spacing w:after="80" w:line="252" w:lineRule="auto"/>
      </w:pPr>
      <w:r>
        <w:t>Illustration idea: A person who keeps a gratitude journal discovers that memory reshapes mood and obedience.</w:t>
      </w:r>
    </w:p>
    <w:p>
      <w:pPr>
        <w:spacing w:after="80" w:line="252" w:lineRule="auto"/>
      </w:pPr>
      <w:r>
        <w:t>Application: Invite the congregation to name specific mercies of God rather than relying on vague religious language.</w:t>
      </w:r>
    </w:p>
    <w:p>
      <w:pPr>
        <w:pStyle w:val="Heading1"/>
        <w:spacing w:after="80" w:line="252" w:lineRule="auto"/>
      </w:pPr>
      <w:r>
        <w:t>2. Praise has content because God has revealed his character</w:t>
      </w:r>
    </w:p>
    <w:p>
      <w:pPr>
        <w:spacing w:after="80" w:line="252" w:lineRule="auto"/>
      </w:pPr>
      <w:r>
        <w:t>Explanation: Christian worship is grounded in who God is. Psalm 103 praises the Lord as merciful, gracious, slow to anger, and abundant in loving kindness.</w:t>
      </w:r>
    </w:p>
    <w:p>
      <w:pPr>
        <w:spacing w:after="80" w:line="252" w:lineRule="auto"/>
      </w:pPr>
      <w:r>
        <w:t>Song connection: The song is strongest when sung as a response to God's revealed character, not merely as an expression of personal feeling.</w:t>
      </w:r>
    </w:p>
    <w:p>
      <w:pPr>
        <w:spacing w:after="80" w:line="252" w:lineRule="auto"/>
      </w:pPr>
      <w:r>
        <w:t>Biblical support: Psalm 103:8; Exodus 34:6; Hebrews 13:15</w:t>
      </w:r>
    </w:p>
    <w:p>
      <w:pPr>
        <w:spacing w:after="80" w:line="252" w:lineRule="auto"/>
      </w:pPr>
      <w:r>
        <w:t>Illustration idea: In a crisis, a trusted friend's known character gives confidence even before every detail is resolved.</w:t>
      </w:r>
    </w:p>
    <w:p>
      <w:pPr>
        <w:spacing w:after="80" w:line="252" w:lineRule="auto"/>
      </w:pPr>
      <w:r>
        <w:t>Application: Preach God's mercy to the ashamed, his patience to the impatient, and his kindness to the weary.</w:t>
      </w:r>
    </w:p>
    <w:p>
      <w:pPr>
        <w:pStyle w:val="Heading1"/>
        <w:spacing w:after="80" w:line="252" w:lineRule="auto"/>
      </w:pPr>
      <w:r>
        <w:t>3. Praise becomes a daily discipline</w:t>
      </w:r>
    </w:p>
    <w:p>
      <w:pPr>
        <w:spacing w:after="80" w:line="252" w:lineRule="auto"/>
      </w:pPr>
      <w:r>
        <w:t>Explanation: Psalm 145 teaches daily praise. Worship is not confined to a gathered service; it shapes the ordinary rhythms of life.</w:t>
      </w:r>
    </w:p>
    <w:p>
      <w:pPr>
        <w:spacing w:after="80" w:line="252" w:lineRule="auto"/>
      </w:pPr>
      <w:r>
        <w:t>Song connection: The song moves from a new day into continuing worship, helping believers connect daily routine with devotion.</w:t>
      </w:r>
    </w:p>
    <w:p>
      <w:pPr>
        <w:spacing w:after="80" w:line="252" w:lineRule="auto"/>
      </w:pPr>
      <w:r>
        <w:t>Biblical support: Psalm 145:2-3; Romans 12:1</w:t>
      </w:r>
    </w:p>
    <w:p>
      <w:pPr>
        <w:spacing w:after="80" w:line="252" w:lineRule="auto"/>
      </w:pPr>
      <w:r>
        <w:t>Illustration idea: A sunrise can become a call to prayer rather than only a mark of another busy day.</w:t>
      </w:r>
    </w:p>
    <w:p>
      <w:pPr>
        <w:spacing w:after="80" w:line="252" w:lineRule="auto"/>
      </w:pPr>
      <w:r>
        <w:t>Application: Encourage simple practices: morning Scripture, brief thanksgiving, and songs that turn attention toward God.</w:t>
      </w:r>
    </w:p>
    <w:p>
      <w:pPr>
        <w:pStyle w:val="Heading1"/>
        <w:spacing w:after="80" w:line="252" w:lineRule="auto"/>
      </w:pPr>
      <w:r>
        <w:t>4. Praise endures because the Lamb is worthy forever</w:t>
      </w:r>
    </w:p>
    <w:p>
      <w:pPr>
        <w:spacing w:after="80" w:line="252" w:lineRule="auto"/>
      </w:pPr>
      <w:r>
        <w:t>Explanation: The Christian hope is not that earthly strength will last forever, but that God's people will join the unending praise of the throne and the Lamb.</w:t>
      </w:r>
    </w:p>
    <w:p>
      <w:pPr>
        <w:spacing w:after="80" w:line="252" w:lineRule="auto"/>
      </w:pPr>
      <w:r>
        <w:t>Song connection: The song looks beyond present strength and anticipates worship that continues into eternity.</w:t>
      </w:r>
    </w:p>
    <w:p>
      <w:pPr>
        <w:spacing w:after="80" w:line="252" w:lineRule="auto"/>
      </w:pPr>
      <w:r>
        <w:t>Biblical support: Revelation 5:13; 1 Peter 1:3-5; Hebrews 13:15</w:t>
      </w:r>
    </w:p>
    <w:p>
      <w:pPr>
        <w:spacing w:after="80" w:line="252" w:lineRule="auto"/>
      </w:pPr>
      <w:r>
        <w:t>Illustration idea: A believer near the end of life may have little physical strength, yet still bears witness through hope-filled praise.</w:t>
      </w:r>
    </w:p>
    <w:p>
      <w:pPr>
        <w:spacing w:after="80" w:line="252" w:lineRule="auto"/>
      </w:pPr>
      <w:r>
        <w:t>Application: Speak comfort to the grieving and hope to the fearful: death does not silence the worship of those who belong to Christ.</w:t>
      </w:r>
    </w:p>
    <w:p>
      <w:pPr>
        <w:pStyle w:val="Heading1"/>
        <w:spacing w:after="80" w:line="252" w:lineRule="auto"/>
      </w:pPr>
      <w:r>
        <w:t>Christ-Centered Connection</w:t>
      </w:r>
    </w:p>
    <w:p>
      <w:pPr>
        <w:spacing w:after="80" w:line="252" w:lineRule="auto"/>
      </w:pPr>
      <w:r>
        <w:t>Hebrews 13:15 teaches that the sacrifice of praise is offered through Christ. The worshiping church does not approach God on the strength of musical skill, emotional intensity, or moral performance. We bless the Lord because Jesus, the risen and exalted Savior, has opened the way to God and gathers our praise into his own perfect worship.</w:t>
      </w:r>
    </w:p>
    <w:p>
      <w:pPr>
        <w:pStyle w:val="Heading1"/>
        <w:spacing w:after="80" w:line="252" w:lineRule="auto"/>
      </w:pPr>
      <w:r>
        <w:t>Pastoral Applications</w:t>
      </w:r>
    </w:p>
    <w:tbl>
      <w:tblPr>
        <w:tblStyle w:val="TableGrid"/>
        <w:tblW w:type="auto" w:w="0"/>
        <w:jc w:val="center"/>
        <w:tblLook w:firstColumn="1" w:firstRow="1" w:lastColumn="0" w:lastRow="0" w:noHBand="0" w:noVBand="1" w:val="04A0"/>
      </w:tblPr>
      <w:tblGrid>
        <w:gridCol w:w="5328"/>
        <w:gridCol w:w="5328"/>
      </w:tblGrid>
      <w:tr>
        <w:tc>
          <w:tcPr>
            <w:tcW w:type="dxa" w:w="5328"/>
            <w:shd w:fill="283747"/>
            <w:vAlign w:val="center"/>
          </w:tcPr>
          <w:p>
            <w:r/>
            <w:r>
              <w:rPr>
                <w:rFonts w:ascii="Aptos" w:hAnsi="Aptos" w:eastAsia="Aptos"/>
                <w:b/>
                <w:color w:val="FFFFFF"/>
                <w:sz w:val="18"/>
              </w:rPr>
              <w:t>Listener</w:t>
            </w:r>
          </w:p>
        </w:tc>
        <w:tc>
          <w:tcPr>
            <w:tcW w:type="dxa" w:w="5328"/>
            <w:shd w:fill="283747"/>
            <w:vAlign w:val="center"/>
          </w:tcPr>
          <w:p>
            <w:r/>
            <w:r>
              <w:rPr>
                <w:rFonts w:ascii="Aptos" w:hAnsi="Aptos" w:eastAsia="Aptos"/>
                <w:b/>
                <w:color w:val="FFFFFF"/>
                <w:sz w:val="18"/>
              </w:rPr>
              <w:t>Pastoral Word</w:t>
            </w:r>
          </w:p>
        </w:tc>
      </w:tr>
      <w:tr>
        <w:tc>
          <w:tcPr>
            <w:tcW w:type="dxa" w:w="5328"/>
            <w:vAlign w:val="top"/>
          </w:tcPr>
          <w:p>
            <w:r/>
            <w:r>
              <w:rPr>
                <w:rFonts w:ascii="Aptos" w:hAnsi="Aptos" w:eastAsia="Aptos"/>
                <w:b w:val="0"/>
                <w:sz w:val="18"/>
              </w:rPr>
              <w:t>Anxious</w:t>
            </w:r>
          </w:p>
        </w:tc>
        <w:tc>
          <w:tcPr>
            <w:tcW w:type="dxa" w:w="5328"/>
            <w:vAlign w:val="top"/>
          </w:tcPr>
          <w:p>
            <w:r/>
            <w:r>
              <w:rPr>
                <w:rFonts w:ascii="Aptos" w:hAnsi="Aptos" w:eastAsia="Aptos"/>
                <w:b w:val="0"/>
                <w:sz w:val="18"/>
              </w:rPr>
              <w:t>Let the character of God steady your imagination about tomorrow.</w:t>
            </w:r>
          </w:p>
        </w:tc>
      </w:tr>
      <w:tr>
        <w:tc>
          <w:tcPr>
            <w:tcW w:type="dxa" w:w="5328"/>
            <w:vAlign w:val="top"/>
          </w:tcPr>
          <w:p>
            <w:r/>
            <w:r>
              <w:rPr>
                <w:rFonts w:ascii="Aptos" w:hAnsi="Aptos" w:eastAsia="Aptos"/>
                <w:b w:val="0"/>
                <w:sz w:val="18"/>
              </w:rPr>
              <w:t>Grieving</w:t>
            </w:r>
          </w:p>
        </w:tc>
        <w:tc>
          <w:tcPr>
            <w:tcW w:type="dxa" w:w="5328"/>
            <w:vAlign w:val="top"/>
          </w:tcPr>
          <w:p>
            <w:r/>
            <w:r>
              <w:rPr>
                <w:rFonts w:ascii="Aptos" w:hAnsi="Aptos" w:eastAsia="Aptos"/>
                <w:b w:val="0"/>
                <w:sz w:val="18"/>
              </w:rPr>
              <w:t>Your tears do not cancel praise; they can be carried into it.</w:t>
            </w:r>
          </w:p>
        </w:tc>
      </w:tr>
      <w:tr>
        <w:tc>
          <w:tcPr>
            <w:tcW w:type="dxa" w:w="5328"/>
            <w:vAlign w:val="top"/>
          </w:tcPr>
          <w:p>
            <w:r/>
            <w:r>
              <w:rPr>
                <w:rFonts w:ascii="Aptos" w:hAnsi="Aptos" w:eastAsia="Aptos"/>
                <w:b w:val="0"/>
                <w:sz w:val="18"/>
              </w:rPr>
              <w:t>Doubting</w:t>
            </w:r>
          </w:p>
        </w:tc>
        <w:tc>
          <w:tcPr>
            <w:tcW w:type="dxa" w:w="5328"/>
            <w:vAlign w:val="top"/>
          </w:tcPr>
          <w:p>
            <w:r/>
            <w:r>
              <w:rPr>
                <w:rFonts w:ascii="Aptos" w:hAnsi="Aptos" w:eastAsia="Aptos"/>
                <w:b w:val="0"/>
                <w:sz w:val="18"/>
              </w:rPr>
              <w:t>Begin with remembered mercies when confidence feels weak.</w:t>
            </w:r>
          </w:p>
        </w:tc>
      </w:tr>
      <w:tr>
        <w:tc>
          <w:tcPr>
            <w:tcW w:type="dxa" w:w="5328"/>
            <w:vAlign w:val="top"/>
          </w:tcPr>
          <w:p>
            <w:r/>
            <w:r>
              <w:rPr>
                <w:rFonts w:ascii="Aptos" w:hAnsi="Aptos" w:eastAsia="Aptos"/>
                <w:b w:val="0"/>
                <w:sz w:val="18"/>
              </w:rPr>
              <w:t>Joyful</w:t>
            </w:r>
          </w:p>
        </w:tc>
        <w:tc>
          <w:tcPr>
            <w:tcW w:type="dxa" w:w="5328"/>
            <w:vAlign w:val="top"/>
          </w:tcPr>
          <w:p>
            <w:r/>
            <w:r>
              <w:rPr>
                <w:rFonts w:ascii="Aptos" w:hAnsi="Aptos" w:eastAsia="Aptos"/>
                <w:b w:val="0"/>
                <w:sz w:val="18"/>
              </w:rPr>
              <w:t>Let joy become thanksgiving rather than self-congratulation.</w:t>
            </w:r>
          </w:p>
        </w:tc>
      </w:tr>
      <w:tr>
        <w:tc>
          <w:tcPr>
            <w:tcW w:type="dxa" w:w="5328"/>
            <w:vAlign w:val="top"/>
          </w:tcPr>
          <w:p>
            <w:r/>
            <w:r>
              <w:rPr>
                <w:rFonts w:ascii="Aptos" w:hAnsi="Aptos" w:eastAsia="Aptos"/>
                <w:b w:val="0"/>
                <w:sz w:val="18"/>
              </w:rPr>
              <w:t>Serving</w:t>
            </w:r>
          </w:p>
        </w:tc>
        <w:tc>
          <w:tcPr>
            <w:tcW w:type="dxa" w:w="5328"/>
            <w:vAlign w:val="top"/>
          </w:tcPr>
          <w:p>
            <w:r/>
            <w:r>
              <w:rPr>
                <w:rFonts w:ascii="Aptos" w:hAnsi="Aptos" w:eastAsia="Aptos"/>
                <w:b w:val="0"/>
                <w:sz w:val="18"/>
              </w:rPr>
              <w:t>Let daily praise protect service from bitterness.</w:t>
            </w:r>
          </w:p>
        </w:tc>
      </w:tr>
      <w:tr>
        <w:tc>
          <w:tcPr>
            <w:tcW w:type="dxa" w:w="5328"/>
            <w:vAlign w:val="top"/>
          </w:tcPr>
          <w:p>
            <w:r/>
            <w:r>
              <w:rPr>
                <w:rFonts w:ascii="Aptos" w:hAnsi="Aptos" w:eastAsia="Aptos"/>
                <w:b w:val="0"/>
                <w:sz w:val="18"/>
              </w:rPr>
              <w:t>Weary</w:t>
            </w:r>
          </w:p>
        </w:tc>
        <w:tc>
          <w:tcPr>
            <w:tcW w:type="dxa" w:w="5328"/>
            <w:vAlign w:val="top"/>
          </w:tcPr>
          <w:p>
            <w:r/>
            <w:r>
              <w:rPr>
                <w:rFonts w:ascii="Aptos" w:hAnsi="Aptos" w:eastAsia="Aptos"/>
                <w:b w:val="0"/>
                <w:sz w:val="18"/>
              </w:rPr>
              <w:t>The Lord is worthy even when your strength is small.</w:t>
            </w:r>
          </w:p>
        </w:tc>
      </w:tr>
      <w:tr>
        <w:tc>
          <w:tcPr>
            <w:tcW w:type="dxa" w:w="5328"/>
            <w:vAlign w:val="top"/>
          </w:tcPr>
          <w:p>
            <w:r/>
            <w:r>
              <w:rPr>
                <w:rFonts w:ascii="Aptos" w:hAnsi="Aptos" w:eastAsia="Aptos"/>
                <w:b w:val="0"/>
                <w:sz w:val="18"/>
              </w:rPr>
              <w:t>Repentant</w:t>
            </w:r>
          </w:p>
        </w:tc>
        <w:tc>
          <w:tcPr>
            <w:tcW w:type="dxa" w:w="5328"/>
            <w:vAlign w:val="top"/>
          </w:tcPr>
          <w:p>
            <w:r/>
            <w:r>
              <w:rPr>
                <w:rFonts w:ascii="Aptos" w:hAnsi="Aptos" w:eastAsia="Aptos"/>
                <w:b w:val="0"/>
                <w:sz w:val="18"/>
              </w:rPr>
              <w:t>God's mercy and patience call you home.</w:t>
            </w:r>
          </w:p>
        </w:tc>
      </w:tr>
      <w:tr>
        <w:tc>
          <w:tcPr>
            <w:tcW w:type="dxa" w:w="5328"/>
            <w:vAlign w:val="top"/>
          </w:tcPr>
          <w:p>
            <w:r/>
            <w:r>
              <w:rPr>
                <w:rFonts w:ascii="Aptos" w:hAnsi="Aptos" w:eastAsia="Aptos"/>
                <w:b w:val="0"/>
                <w:sz w:val="18"/>
              </w:rPr>
              <w:t>Hopeful</w:t>
            </w:r>
          </w:p>
        </w:tc>
        <w:tc>
          <w:tcPr>
            <w:tcW w:type="dxa" w:w="5328"/>
            <w:vAlign w:val="top"/>
          </w:tcPr>
          <w:p>
            <w:r/>
            <w:r>
              <w:rPr>
                <w:rFonts w:ascii="Aptos" w:hAnsi="Aptos" w:eastAsia="Aptos"/>
                <w:b w:val="0"/>
                <w:sz w:val="18"/>
              </w:rPr>
              <w:t>Present praise is rehearsal for eternal worship.</w:t>
            </w:r>
          </w:p>
        </w:tc>
      </w:tr>
    </w:tbl>
    <w:p>
      <w:pPr>
        <w:pStyle w:val="Heading1"/>
        <w:spacing w:after="80" w:line="252" w:lineRule="auto"/>
      </w:pPr>
      <w:r>
        <w:t>Conclusion and Call to Response</w:t>
      </w:r>
    </w:p>
    <w:p>
      <w:pPr>
        <w:spacing w:after="80" w:line="252" w:lineRule="auto"/>
      </w:pPr>
      <w:r>
        <w:t>Call the congregation to bless the Lord with the whole self: remembering his benefits, resting in his mercy, practicing daily praise, and looking toward the worship that will never end. Invite them to respond with prayer, thanksgiving, confession, and renewed participation in congregational praise.</w:t>
      </w:r>
    </w:p>
    <w:p>
      <w:pPr>
        <w:pStyle w:val="Heading1"/>
        <w:spacing w:after="80" w:line="252" w:lineRule="auto"/>
      </w:pPr>
      <w:r>
        <w:t>Suggested Closing Prayer</w:t>
      </w:r>
    </w:p>
    <w:p>
      <w:pPr>
        <w:spacing w:after="80" w:line="252" w:lineRule="auto"/>
      </w:pPr>
      <w:r>
        <w:t>Merciful Lord, awaken our souls to bless your name. Forgive our forgetfulness, renew our gratitude, and teach us to praise you through Jesus Christ. Sustain us in ordinary days, in sorrow, and at the end of earthly strength, until our praise joins the worship of your kingdom forever. Amen.</w:t>
      </w:r>
    </w:p>
    <w:sectPr w:rsidR="00FC693F" w:rsidRPr="0006063C" w:rsidSect="00034616">
      <w:footerReference w:type="default" r:id="rId9"/>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28374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495B48"/>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color w:val="283747"/>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