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355E3B"/>
          <w:sz w:val="44"/>
        </w:rPr>
        <w:t>In the Garden</w:t>
      </w:r>
    </w:p>
    <w:p>
      <w:pPr>
        <w:jc w:val="center"/>
      </w:pPr>
      <w:r>
        <w:rPr>
          <w:rFonts w:ascii="Aptos" w:hAnsi="Aptos"/>
          <w:i/>
          <w:color w:val="6C5845"/>
          <w:sz w:val="21"/>
        </w:rPr>
        <w:t>Small Group Handout</w:t>
      </w:r>
    </w:p>
    <w:p>
      <w:pPr>
        <w:jc w:val="center"/>
      </w:pPr>
      <w:r>
        <w:rPr>
          <w:color w:val="2F302B"/>
          <w:sz w:val="17"/>
        </w:rPr>
        <w:t>Words and music by Charles Austin Miles, 1912 | Tune: GARDEN / IN THE GARDEN | Primary Scripture: John 20:16-18</w:t>
      </w:r>
    </w:p>
    <w:p>
      <w:pPr>
        <w:spacing w:after="60"/>
      </w:pPr>
      <w:r>
        <w:rPr>
          <w:sz w:val="18"/>
        </w:rPr>
        <w:t>Purpose: To help the group connect personal devotion with the resurrection witness of John 20 and the living presence of Christ.</w:t>
      </w:r>
    </w:p>
    <w:p>
      <w:pPr>
        <w:pStyle w:val="Heading2"/>
        <w:spacing w:before="100" w:after="40"/>
      </w:pPr>
      <w:r>
        <w:t>Opening Reflection</w:t>
      </w:r>
    </w:p>
    <w:p>
      <w:pPr>
        <w:pStyle w:val="ListBullet"/>
        <w:spacing w:after="34"/>
      </w:pPr>
      <w:r>
        <w:rPr>
          <w:sz w:val="18"/>
        </w:rPr>
        <w:t>Where do you most often pray with honesty and stillness?</w:t>
      </w:r>
    </w:p>
    <w:p>
      <w:pPr>
        <w:pStyle w:val="ListBullet"/>
        <w:spacing w:after="34"/>
      </w:pPr>
      <w:r>
        <w:rPr>
          <w:sz w:val="18"/>
        </w:rPr>
        <w:t>Why do Christians sometimes need reminders that Christ is not distant from his people?</w:t>
      </w:r>
    </w:p>
    <w:p>
      <w:pPr>
        <w:pStyle w:val="Heading2"/>
        <w:spacing w:before="100" w:after="40"/>
      </w:pPr>
      <w:r>
        <w:t>Brief Hymn Background</w:t>
      </w:r>
    </w:p>
    <w:p>
      <w:pPr>
        <w:spacing w:after="60"/>
      </w:pPr>
      <w:r>
        <w:rPr>
          <w:sz w:val="18"/>
        </w:rPr>
        <w:t>Charles Austin Miles wrote both the words and music for this hymn in 1912. Miles had trained in pharmacy before giving himself to gospel music publishing, where he served as an editor and songwriter. The hymn became his most widely known song.</w:t>
      </w:r>
    </w:p>
    <w:p>
      <w:pPr>
        <w:spacing w:after="60"/>
      </w:pPr>
      <w:r>
        <w:rPr>
          <w:sz w:val="18"/>
        </w:rPr>
        <w:t>The hymn is closely associated with John 20, where Mary Magdalene encounters the risen Christ near the empty tomb. Its devotional language is tender and personal, but its strongest foundation is the resurrection of Jesus.</w:t>
      </w:r>
    </w:p>
    <w:p>
      <w:pPr>
        <w:spacing w:after="60"/>
      </w:pPr>
      <w:r>
        <w:rPr>
          <w:sz w:val="18"/>
        </w:rPr>
        <w:t>Tune: GARDEN / IN THE GARDEN. Meter: irregular with refrain. Style: early twentieth-century American gospel song, usually sung gently and reflectively.</w:t>
      </w:r>
    </w:p>
    <w:p>
      <w:pPr>
        <w:pStyle w:val="Heading2"/>
        <w:spacing w:before="100" w:after="40"/>
      </w:pPr>
      <w:r>
        <w:t>Primary Scripture and Supporting Scriptures</w:t>
      </w:r>
    </w:p>
    <w:p>
      <w:pPr>
        <w:pStyle w:val="ListBullet"/>
        <w:spacing w:after="34"/>
      </w:pPr>
      <w:r>
        <w:rPr>
          <w:sz w:val="18"/>
        </w:rPr>
        <w:t>John 20:16-18 - the risen Christ calls Mary by name and sends her to bear witness.</w:t>
      </w:r>
    </w:p>
    <w:p>
      <w:pPr>
        <w:pStyle w:val="ListBullet"/>
        <w:spacing w:after="34"/>
      </w:pPr>
      <w:r>
        <w:rPr>
          <w:sz w:val="18"/>
        </w:rPr>
        <w:t>John 10:27 - Christ’s sheep hear his voice, are known by him, and follow him.</w:t>
      </w:r>
    </w:p>
    <w:p>
      <w:pPr>
        <w:pStyle w:val="ListBullet"/>
        <w:spacing w:after="34"/>
      </w:pPr>
      <w:r>
        <w:rPr>
          <w:sz w:val="18"/>
        </w:rPr>
        <w:t>Psalm 16:11 - fullness of joy is found in the Lord’s presence.</w:t>
      </w:r>
    </w:p>
    <w:p>
      <w:pPr>
        <w:pStyle w:val="ListBullet"/>
        <w:spacing w:after="34"/>
      </w:pPr>
      <w:r>
        <w:rPr>
          <w:sz w:val="18"/>
        </w:rPr>
        <w:t>Revelation 3:20 - Christ graciously offers fellowship to those who hear and respond.</w:t>
      </w:r>
    </w:p>
    <w:p>
      <w:pPr>
        <w:pStyle w:val="Heading2"/>
        <w:spacing w:before="100" w:after="40"/>
      </w:pPr>
      <w:r>
        <w:t>Stanza-by-Stanza Study</w:t>
      </w:r>
    </w:p>
    <w:p>
      <w:pPr>
        <w:spacing w:after="60"/>
      </w:pPr>
      <w:r>
        <w:rPr>
          <w:sz w:val="18"/>
        </w:rPr>
        <w:t>Stanza 1: The hymn begins with a quiet garden setting. In light of John 20, this is more than peaceful scenery; it points to a place of encounter with the risen Christ. Teaching emphasis: Christian quietness is not empty. It is attentive to the Lord who lives and speaks through his Word.</w:t>
      </w:r>
    </w:p>
    <w:p>
      <w:pPr>
        <w:spacing w:after="60"/>
      </w:pPr>
      <w:r>
        <w:rPr>
          <w:sz w:val="18"/>
        </w:rPr>
        <w:t>Refrain: The central theme is fellowship with Christ. The repeated ideas of walking, speaking, belonging, and joy help worshipers confess that the risen Lord is near to his people. Teaching emphasis: assurance is not based on mood alone, but on the living Savior who knows his own.</w:t>
      </w:r>
    </w:p>
    <w:p>
      <w:pPr>
        <w:spacing w:after="60"/>
      </w:pPr>
      <w:r>
        <w:rPr>
          <w:sz w:val="18"/>
        </w:rPr>
        <w:t>Stanza 2: The hymn turns attention to Christ’s voice. The imagery of sweetness and inward melody expresses the joy of recognizing and receiving the Lord’s presence. Teaching emphasis: hearing Christ should be understood in a Scripture-shaped way, leading to trust and obedience.</w:t>
      </w:r>
    </w:p>
    <w:p>
      <w:pPr>
        <w:pStyle w:val="Heading2"/>
        <w:spacing w:before="100" w:after="40"/>
      </w:pPr>
      <w:r>
        <w:t>Study Table</w:t>
      </w:r>
    </w:p>
    <w:tbl>
      <w:tblPr>
        <w:tblStyle w:val="TableGrid"/>
        <w:tblW w:type="auto" w:w="0"/>
        <w:jc w:val="center"/>
        <w:tblLook w:firstColumn="1" w:firstRow="1" w:lastColumn="0" w:lastRow="0" w:noHBand="0" w:noVBand="1" w:val="04A0"/>
      </w:tblPr>
      <w:tblGrid>
        <w:gridCol w:w="3456"/>
        <w:gridCol w:w="3456"/>
        <w:gridCol w:w="3456"/>
      </w:tblGrid>
      <w:tr>
        <w:tc>
          <w:tcPr>
            <w:tcW w:type="dxa" w:w="2304"/>
            <w:shd w:fill="E9DDC5"/>
          </w:tcPr>
          <w:p>
            <w:r/>
            <w:r>
              <w:rPr>
                <w:b/>
                <w:color w:val="355E3B"/>
                <w:sz w:val="17"/>
              </w:rPr>
              <w:t>Hymn Theme</w:t>
            </w:r>
          </w:p>
        </w:tc>
        <w:tc>
          <w:tcPr>
            <w:tcW w:type="dxa" w:w="2232"/>
            <w:shd w:fill="E9DDC5"/>
          </w:tcPr>
          <w:p>
            <w:r/>
            <w:r>
              <w:rPr>
                <w:b/>
                <w:color w:val="355E3B"/>
                <w:sz w:val="17"/>
              </w:rPr>
              <w:t>Scripture Connection</w:t>
            </w:r>
          </w:p>
        </w:tc>
        <w:tc>
          <w:tcPr>
            <w:tcW w:type="dxa" w:w="5616"/>
            <w:shd w:fill="E9DDC5"/>
          </w:tcPr>
          <w:p>
            <w:r/>
            <w:r>
              <w:rPr>
                <w:b/>
                <w:color w:val="355E3B"/>
                <w:sz w:val="17"/>
              </w:rPr>
              <w:t>Discussion Prompt</w:t>
            </w:r>
          </w:p>
        </w:tc>
      </w:tr>
      <w:tr>
        <w:tc>
          <w:tcPr>
            <w:tcW w:type="dxa" w:w="2304"/>
            <w:vAlign w:val="top"/>
          </w:tcPr>
          <w:p>
            <w:r/>
            <w:r>
              <w:rPr>
                <w:b w:val="0"/>
                <w:color w:val="2F302B"/>
                <w:sz w:val="16"/>
              </w:rPr>
              <w:t>Resurrection encounter</w:t>
            </w:r>
          </w:p>
        </w:tc>
        <w:tc>
          <w:tcPr>
            <w:tcW w:type="dxa" w:w="2232"/>
            <w:vAlign w:val="top"/>
          </w:tcPr>
          <w:p>
            <w:r/>
            <w:r>
              <w:rPr>
                <w:b w:val="0"/>
                <w:color w:val="2F302B"/>
                <w:sz w:val="16"/>
              </w:rPr>
              <w:t>John 20:16-18</w:t>
            </w:r>
          </w:p>
        </w:tc>
        <w:tc>
          <w:tcPr>
            <w:tcW w:type="dxa" w:w="5616"/>
            <w:vAlign w:val="top"/>
          </w:tcPr>
          <w:p>
            <w:r/>
            <w:r>
              <w:rPr>
                <w:b w:val="0"/>
                <w:color w:val="2F302B"/>
                <w:sz w:val="16"/>
              </w:rPr>
              <w:t>How does the empty tomb change the meaning of personal devotion?</w:t>
            </w:r>
          </w:p>
        </w:tc>
      </w:tr>
      <w:tr>
        <w:tc>
          <w:tcPr>
            <w:tcW w:type="dxa" w:w="2304"/>
            <w:vAlign w:val="top"/>
          </w:tcPr>
          <w:p>
            <w:r/>
            <w:r>
              <w:rPr>
                <w:b w:val="0"/>
                <w:color w:val="2F302B"/>
                <w:sz w:val="16"/>
              </w:rPr>
              <w:t>Christ’s voice</w:t>
            </w:r>
          </w:p>
        </w:tc>
        <w:tc>
          <w:tcPr>
            <w:tcW w:type="dxa" w:w="2232"/>
            <w:vAlign w:val="top"/>
          </w:tcPr>
          <w:p>
            <w:r/>
            <w:r>
              <w:rPr>
                <w:b w:val="0"/>
                <w:color w:val="2F302B"/>
                <w:sz w:val="16"/>
              </w:rPr>
              <w:t>John 10:27</w:t>
            </w:r>
          </w:p>
        </w:tc>
        <w:tc>
          <w:tcPr>
            <w:tcW w:type="dxa" w:w="5616"/>
            <w:vAlign w:val="top"/>
          </w:tcPr>
          <w:p>
            <w:r/>
            <w:r>
              <w:rPr>
                <w:b w:val="0"/>
                <w:color w:val="2F302B"/>
                <w:sz w:val="16"/>
              </w:rPr>
              <w:t>How do believers learn to recognize Christ’s voice through Scripture?</w:t>
            </w:r>
          </w:p>
        </w:tc>
      </w:tr>
      <w:tr>
        <w:tc>
          <w:tcPr>
            <w:tcW w:type="dxa" w:w="2304"/>
            <w:vAlign w:val="top"/>
          </w:tcPr>
          <w:p>
            <w:r/>
            <w:r>
              <w:rPr>
                <w:b w:val="0"/>
                <w:color w:val="2F302B"/>
                <w:sz w:val="16"/>
              </w:rPr>
              <w:t>Joy in God’s presence</w:t>
            </w:r>
          </w:p>
        </w:tc>
        <w:tc>
          <w:tcPr>
            <w:tcW w:type="dxa" w:w="2232"/>
            <w:vAlign w:val="top"/>
          </w:tcPr>
          <w:p>
            <w:r/>
            <w:r>
              <w:rPr>
                <w:b w:val="0"/>
                <w:color w:val="2F302B"/>
                <w:sz w:val="16"/>
              </w:rPr>
              <w:t>Psalm 16:11</w:t>
            </w:r>
          </w:p>
        </w:tc>
        <w:tc>
          <w:tcPr>
            <w:tcW w:type="dxa" w:w="5616"/>
            <w:vAlign w:val="top"/>
          </w:tcPr>
          <w:p>
            <w:r/>
            <w:r>
              <w:rPr>
                <w:b w:val="0"/>
                <w:color w:val="2F302B"/>
                <w:sz w:val="16"/>
              </w:rPr>
              <w:t>What kind of joy can remain even in sorrow?</w:t>
            </w:r>
          </w:p>
        </w:tc>
      </w:tr>
      <w:tr>
        <w:tc>
          <w:tcPr>
            <w:tcW w:type="dxa" w:w="2304"/>
            <w:vAlign w:val="top"/>
          </w:tcPr>
          <w:p>
            <w:r/>
            <w:r>
              <w:rPr>
                <w:b w:val="0"/>
                <w:color w:val="2F302B"/>
                <w:sz w:val="16"/>
              </w:rPr>
              <w:t>Fellowship with Christ</w:t>
            </w:r>
          </w:p>
        </w:tc>
        <w:tc>
          <w:tcPr>
            <w:tcW w:type="dxa" w:w="2232"/>
            <w:vAlign w:val="top"/>
          </w:tcPr>
          <w:p>
            <w:r/>
            <w:r>
              <w:rPr>
                <w:b w:val="0"/>
                <w:color w:val="2F302B"/>
                <w:sz w:val="16"/>
              </w:rPr>
              <w:t>Revelation 3:20</w:t>
            </w:r>
          </w:p>
        </w:tc>
        <w:tc>
          <w:tcPr>
            <w:tcW w:type="dxa" w:w="5616"/>
            <w:vAlign w:val="top"/>
          </w:tcPr>
          <w:p>
            <w:r/>
            <w:r>
              <w:rPr>
                <w:b w:val="0"/>
                <w:color w:val="2F302B"/>
                <w:sz w:val="16"/>
              </w:rPr>
              <w:t>What does responsive faith look like in daily life?</w:t>
            </w:r>
          </w:p>
        </w:tc>
      </w:tr>
    </w:tbl>
    <w:p>
      <w:pPr>
        <w:spacing w:after="0"/>
      </w:pPr>
    </w:p>
    <w:p>
      <w:pPr>
        <w:pStyle w:val="Heading2"/>
        <w:spacing w:before="100" w:after="40"/>
      </w:pPr>
      <w:r>
        <w:t>Discussion Questions</w:t>
      </w:r>
    </w:p>
    <w:p>
      <w:pPr>
        <w:pStyle w:val="ListNumber"/>
        <w:spacing w:after="40"/>
      </w:pPr>
      <w:r>
        <w:rPr>
          <w:sz w:val="18"/>
        </w:rPr>
        <w:t>What images or repeated ideas stand out most in the hymn?</w:t>
      </w:r>
    </w:p>
    <w:p>
      <w:pPr>
        <w:pStyle w:val="ListNumber"/>
        <w:spacing w:after="40"/>
      </w:pPr>
      <w:r>
        <w:rPr>
          <w:sz w:val="18"/>
        </w:rPr>
        <w:t>How does John 20 guard the hymn from becoming only sentimental?</w:t>
      </w:r>
    </w:p>
    <w:p>
      <w:pPr>
        <w:pStyle w:val="ListNumber"/>
        <w:spacing w:after="40"/>
      </w:pPr>
      <w:r>
        <w:rPr>
          <w:sz w:val="18"/>
        </w:rPr>
        <w:t>What does it mean that Christ calls his people personally?</w:t>
      </w:r>
    </w:p>
    <w:p>
      <w:pPr>
        <w:pStyle w:val="ListNumber"/>
        <w:spacing w:after="40"/>
      </w:pPr>
      <w:r>
        <w:rPr>
          <w:sz w:val="18"/>
        </w:rPr>
        <w:t>How can private prayer strengthen public worship and service?</w:t>
      </w:r>
    </w:p>
    <w:p>
      <w:pPr>
        <w:pStyle w:val="ListNumber"/>
        <w:spacing w:after="40"/>
      </w:pPr>
      <w:r>
        <w:rPr>
          <w:sz w:val="18"/>
        </w:rPr>
        <w:t>Why might this hymn comfort someone who is grieving or lonely?</w:t>
      </w:r>
    </w:p>
    <w:p>
      <w:pPr>
        <w:pStyle w:val="ListNumber"/>
        <w:spacing w:after="40"/>
      </w:pPr>
      <w:r>
        <w:rPr>
          <w:sz w:val="18"/>
        </w:rPr>
        <w:t>Where do you need to hear and obey Christ’s voice this week?</w:t>
      </w:r>
    </w:p>
    <w:p>
      <w:pPr>
        <w:pStyle w:val="ListNumber"/>
        <w:spacing w:after="40"/>
      </w:pPr>
      <w:r>
        <w:rPr>
          <w:sz w:val="18"/>
        </w:rPr>
        <w:t>How can the group encourage one another to practice Scripture-rooted devotion?</w:t>
      </w:r>
    </w:p>
    <w:p>
      <w:pPr>
        <w:pStyle w:val="Heading2"/>
        <w:spacing w:before="100" w:after="40"/>
      </w:pPr>
      <w:r>
        <w:t>Practice This Week</w:t>
      </w:r>
    </w:p>
    <w:p>
      <w:pPr>
        <w:pStyle w:val="ListBullet"/>
        <w:spacing w:after="34"/>
      </w:pPr>
      <w:r>
        <w:rPr>
          <w:sz w:val="18"/>
        </w:rPr>
        <w:t>Read John 20:16-18 slowly each day and thank Christ for his resurrection.</w:t>
      </w:r>
    </w:p>
    <w:p>
      <w:pPr>
        <w:pStyle w:val="ListBullet"/>
        <w:spacing w:after="34"/>
      </w:pPr>
      <w:r>
        <w:rPr>
          <w:sz w:val="18"/>
        </w:rPr>
        <w:t>Spend ten quiet minutes in prayer after reading Scripture.</w:t>
      </w:r>
    </w:p>
    <w:p>
      <w:pPr>
        <w:pStyle w:val="ListBullet"/>
        <w:spacing w:after="34"/>
      </w:pPr>
      <w:r>
        <w:rPr>
          <w:sz w:val="18"/>
        </w:rPr>
        <w:t>Write one sentence of thanks for the Lord’s nearness.</w:t>
      </w:r>
    </w:p>
    <w:p>
      <w:pPr>
        <w:pStyle w:val="ListBullet"/>
        <w:spacing w:after="34"/>
      </w:pPr>
      <w:r>
        <w:rPr>
          <w:sz w:val="18"/>
        </w:rPr>
        <w:t>Encourage someone who feels alone with a Scripture promise.</w:t>
      </w:r>
    </w:p>
    <w:p>
      <w:pPr>
        <w:pStyle w:val="ListBullet"/>
        <w:spacing w:after="34"/>
      </w:pPr>
      <w:r>
        <w:rPr>
          <w:sz w:val="18"/>
        </w:rPr>
        <w:t>Let one private prayer lead to one act of obedience or witness.</w:t>
      </w:r>
    </w:p>
    <w:p>
      <w:pPr>
        <w:pStyle w:val="Heading2"/>
        <w:spacing w:before="100" w:after="40"/>
      </w:pPr>
      <w:r>
        <w:t>Optional Leader Notes</w:t>
      </w:r>
    </w:p>
    <w:p>
      <w:pPr>
        <w:spacing w:after="60"/>
      </w:pPr>
      <w:r>
        <w:rPr>
          <w:sz w:val="18"/>
        </w:rPr>
        <w:t>Keep the discussion anchored in John 20. Affirm the hymn’s warmth while helping the group see that Christian comfort is grounded in Christ’s resurrection, not simply in a peaceful mood.</w:t>
      </w:r>
    </w:p>
    <w:p>
      <w:pPr>
        <w:pStyle w:val="Heading2"/>
        <w:spacing w:before="100" w:after="40"/>
      </w:pPr>
      <w:r>
        <w:t>Closing Prayer</w:t>
      </w:r>
    </w:p>
    <w:p>
      <w:pPr>
        <w:spacing w:after="60"/>
      </w:pPr>
      <w:r>
        <w:rPr>
          <w:sz w:val="18"/>
        </w:rPr>
        <w:t>Risen Lord Jesus, call us again through your Word. Teach us to listen with faith, receive your comfort with gratitude, and follow you with obedient joy. Amen.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5845"/>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355E3B"/>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355E3B"/>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355E3B"/>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