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63650"/>
          <w:sz w:val="42"/>
        </w:rPr>
        <w:t>'Tis the Old Time Religion</w:t>
      </w:r>
    </w:p>
    <w:p>
      <w:pPr>
        <w:jc w:val="center"/>
      </w:pPr>
      <w:r>
        <w:rPr>
          <w:rFonts w:ascii="Aptos" w:hAnsi="Aptos"/>
          <w:i/>
          <w:color w:val="6B4D24"/>
          <w:sz w:val="21"/>
        </w:rPr>
        <w:t>A small-group study on enduring faith, generational witness, love, courage, and hope</w:t>
      </w:r>
    </w:p>
    <w:p>
      <w:pPr>
        <w:spacing w:after="100" w:line="250" w:lineRule="auto"/>
      </w:pPr>
      <w:r>
        <w:rPr>
          <w:rFonts w:ascii="Aptos" w:hAnsi="Aptos"/>
          <w:color w:val="2A2A2A"/>
          <w:sz w:val="20"/>
        </w:rPr>
        <w:t>First line: "'Tis the old time religion." This traditional African American spiritual is commonly known as Old Time Religion or Give Me That Old Time Religion. Charles Davis Tillman later adapted and popularized a form of the song for revival and gospel-song use.</w:t>
      </w:r>
    </w:p>
    <w:p>
      <w:pPr>
        <w:pStyle w:val="Heading2"/>
      </w:pPr>
      <w:r>
        <w:rPr>
          <w:rFonts w:ascii="Aptos Display" w:hAnsi="Aptos Display"/>
          <w:color w:val="6B4D24"/>
        </w:rPr>
        <w:t>Opening Reflection</w:t>
      </w:r>
    </w:p>
    <w:p>
      <w:pPr>
        <w:pStyle w:val="ListBullet"/>
        <w:spacing w:after="60"/>
      </w:pPr>
      <w:r>
        <w:rPr>
          <w:rFonts w:ascii="Aptos" w:hAnsi="Aptos"/>
          <w:color w:val="2A2A2A"/>
          <w:sz w:val="20"/>
        </w:rPr>
        <w:t>Who first helped you understand what sincere Christian faith looks like?</w:t>
      </w:r>
    </w:p>
    <w:p>
      <w:pPr>
        <w:pStyle w:val="ListBullet"/>
        <w:spacing w:after="60"/>
      </w:pPr>
      <w:r>
        <w:rPr>
          <w:rFonts w:ascii="Aptos" w:hAnsi="Aptos"/>
          <w:color w:val="2A2A2A"/>
          <w:sz w:val="20"/>
        </w:rPr>
        <w:t>When does Christian heritage become life-giving rather than merely nostalgic?</w:t>
      </w:r>
    </w:p>
    <w:p>
      <w:pPr>
        <w:pStyle w:val="ListBullet"/>
        <w:spacing w:after="60"/>
      </w:pPr>
      <w:r>
        <w:rPr>
          <w:rFonts w:ascii="Aptos" w:hAnsi="Aptos"/>
          <w:color w:val="2A2A2A"/>
          <w:sz w:val="20"/>
        </w:rPr>
        <w:t>What kind of faith is worth receiving, living, and handing on?</w:t>
      </w:r>
    </w:p>
    <w:p>
      <w:pPr>
        <w:pStyle w:val="Heading2"/>
      </w:pPr>
      <w:r>
        <w:rPr>
          <w:rFonts w:ascii="Aptos Display" w:hAnsi="Aptos Display"/>
          <w:color w:val="6B4D24"/>
        </w:rPr>
        <w:t>Brief Hymn Background</w:t>
      </w:r>
    </w:p>
    <w:p>
      <w:pPr>
        <w:spacing w:after="100" w:line="250" w:lineRule="auto"/>
      </w:pPr>
      <w:r>
        <w:rPr>
          <w:rFonts w:ascii="Aptos" w:hAnsi="Aptos"/>
          <w:color w:val="2A2A2A"/>
          <w:sz w:val="20"/>
        </w:rPr>
        <w:t>This hymn grew from the African American spiritual and rural southern folk-revival song tradition. Its repeated form carries the feel of communal testimony: a congregation names the faith that has sustained earlier believers and asks for that same living faith today.</w:t>
      </w:r>
    </w:p>
    <w:p>
      <w:pPr>
        <w:spacing w:after="100" w:line="250" w:lineRule="auto"/>
      </w:pPr>
      <w:r>
        <w:rPr>
          <w:rFonts w:ascii="Aptos" w:hAnsi="Aptos"/>
          <w:color w:val="2A2A2A"/>
          <w:sz w:val="20"/>
        </w:rPr>
        <w:t>Early printed witnesses are connected with spiritual collections in 1873, and the song was later adapted by Charles Davis Tillman after he heard a form of it in an African American worship setting in South Carolina in 1889. Because versions vary in title, stanza order, and number of verses, worship leaders should present it as a communal spiritual tradition rather than the work of one single author.</w:t>
      </w:r>
    </w:p>
    <w:p>
      <w:pPr>
        <w:pStyle w:val="Heading2"/>
      </w:pPr>
      <w:r>
        <w:rPr>
          <w:rFonts w:ascii="Aptos Display" w:hAnsi="Aptos Display"/>
          <w:color w:val="6B4D24"/>
        </w:rPr>
        <w:t>Scripture Foundation</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E9EEF7"/>
            <w:vAlign w:val="top"/>
          </w:tcPr>
          <w:p>
            <w:pPr>
              <w:spacing w:after="40"/>
            </w:pPr>
            <w:r>
              <w:rPr>
                <w:rFonts w:ascii="Aptos" w:hAnsi="Aptos"/>
                <w:b/>
                <w:sz w:val="18"/>
              </w:rPr>
              <w:t>Hymn Theme</w:t>
            </w:r>
          </w:p>
        </w:tc>
        <w:tc>
          <w:tcPr>
            <w:tcW w:type="dxa" w:w="3504"/>
            <w:shd w:fill="E9EEF7"/>
            <w:vAlign w:val="top"/>
          </w:tcPr>
          <w:p>
            <w:pPr>
              <w:spacing w:after="40"/>
            </w:pPr>
            <w:r>
              <w:rPr>
                <w:rFonts w:ascii="Aptos" w:hAnsi="Aptos"/>
                <w:b/>
                <w:sz w:val="18"/>
              </w:rPr>
              <w:t>Scripture Connection</w:t>
            </w:r>
          </w:p>
        </w:tc>
        <w:tc>
          <w:tcPr>
            <w:tcW w:type="dxa" w:w="3504"/>
            <w:shd w:fill="E9EEF7"/>
            <w:vAlign w:val="top"/>
          </w:tcPr>
          <w:p>
            <w:pPr>
              <w:spacing w:after="40"/>
            </w:pPr>
            <w:r>
              <w:rPr>
                <w:rFonts w:ascii="Aptos" w:hAnsi="Aptos"/>
                <w:b/>
                <w:sz w:val="18"/>
              </w:rPr>
              <w:t>Discussion Prompt</w:t>
            </w:r>
          </w:p>
        </w:tc>
      </w:tr>
      <w:tr>
        <w:tc>
          <w:tcPr>
            <w:tcW w:type="dxa" w:w="3504"/>
            <w:vAlign w:val="top"/>
          </w:tcPr>
          <w:p>
            <w:pPr>
              <w:spacing w:after="40"/>
            </w:pPr>
            <w:r>
              <w:rPr>
                <w:rFonts w:ascii="Aptos" w:hAnsi="Aptos"/>
                <w:sz w:val="18"/>
              </w:rPr>
              <w:t>Faith once delivered</w:t>
            </w:r>
          </w:p>
        </w:tc>
        <w:tc>
          <w:tcPr>
            <w:tcW w:type="dxa" w:w="3504"/>
            <w:vAlign w:val="top"/>
          </w:tcPr>
          <w:p>
            <w:pPr>
              <w:spacing w:after="40"/>
            </w:pPr>
            <w:r>
              <w:rPr>
                <w:rFonts w:ascii="Aptos" w:hAnsi="Aptos"/>
                <w:sz w:val="18"/>
              </w:rPr>
              <w:t>Jude 1:3</w:t>
            </w:r>
          </w:p>
        </w:tc>
        <w:tc>
          <w:tcPr>
            <w:tcW w:type="dxa" w:w="3504"/>
            <w:vAlign w:val="top"/>
          </w:tcPr>
          <w:p>
            <w:pPr>
              <w:spacing w:after="40"/>
            </w:pPr>
            <w:r>
              <w:rPr>
                <w:rFonts w:ascii="Aptos" w:hAnsi="Aptos"/>
                <w:sz w:val="18"/>
              </w:rPr>
              <w:t>How do we receive the gospel faithfully without turning faith into nostalgia?</w:t>
            </w:r>
          </w:p>
        </w:tc>
      </w:tr>
      <w:tr>
        <w:tc>
          <w:tcPr>
            <w:tcW w:type="dxa" w:w="3504"/>
            <w:vAlign w:val="top"/>
          </w:tcPr>
          <w:p>
            <w:pPr>
              <w:spacing w:after="40"/>
            </w:pPr>
            <w:r>
              <w:rPr>
                <w:rFonts w:ascii="Aptos" w:hAnsi="Aptos"/>
                <w:sz w:val="18"/>
              </w:rPr>
              <w:t>Generational witness</w:t>
            </w:r>
          </w:p>
        </w:tc>
        <w:tc>
          <w:tcPr>
            <w:tcW w:type="dxa" w:w="3504"/>
            <w:vAlign w:val="top"/>
          </w:tcPr>
          <w:p>
            <w:pPr>
              <w:spacing w:after="40"/>
            </w:pPr>
            <w:r>
              <w:rPr>
                <w:rFonts w:ascii="Aptos" w:hAnsi="Aptos"/>
                <w:sz w:val="18"/>
              </w:rPr>
              <w:t>2 Timothy 1:5</w:t>
            </w:r>
          </w:p>
        </w:tc>
        <w:tc>
          <w:tcPr>
            <w:tcW w:type="dxa" w:w="3504"/>
            <w:vAlign w:val="top"/>
          </w:tcPr>
          <w:p>
            <w:pPr>
              <w:spacing w:after="40"/>
            </w:pPr>
            <w:r>
              <w:rPr>
                <w:rFonts w:ascii="Aptos" w:hAnsi="Aptos"/>
                <w:sz w:val="18"/>
              </w:rPr>
              <w:t>Who has shown you sincere faith, and how did that witness shape you?</w:t>
            </w:r>
          </w:p>
        </w:tc>
      </w:tr>
      <w:tr>
        <w:tc>
          <w:tcPr>
            <w:tcW w:type="dxa" w:w="3504"/>
            <w:vAlign w:val="top"/>
          </w:tcPr>
          <w:p>
            <w:pPr>
              <w:spacing w:after="40"/>
            </w:pPr>
            <w:r>
              <w:rPr>
                <w:rFonts w:ascii="Aptos" w:hAnsi="Aptos"/>
                <w:sz w:val="18"/>
              </w:rPr>
              <w:t>Love for others</w:t>
            </w:r>
          </w:p>
        </w:tc>
        <w:tc>
          <w:tcPr>
            <w:tcW w:type="dxa" w:w="3504"/>
            <w:vAlign w:val="top"/>
          </w:tcPr>
          <w:p>
            <w:pPr>
              <w:spacing w:after="40"/>
            </w:pPr>
            <w:r>
              <w:rPr>
                <w:rFonts w:ascii="Aptos" w:hAnsi="Aptos"/>
                <w:sz w:val="18"/>
              </w:rPr>
              <w:t>John 13:34-35</w:t>
            </w:r>
          </w:p>
        </w:tc>
        <w:tc>
          <w:tcPr>
            <w:tcW w:type="dxa" w:w="3504"/>
            <w:vAlign w:val="top"/>
          </w:tcPr>
          <w:p>
            <w:pPr>
              <w:spacing w:after="40"/>
            </w:pPr>
            <w:r>
              <w:rPr>
                <w:rFonts w:ascii="Aptos" w:hAnsi="Aptos"/>
                <w:sz w:val="18"/>
              </w:rPr>
              <w:t>Why is love essential evidence of true discipleship?</w:t>
            </w:r>
          </w:p>
        </w:tc>
      </w:tr>
      <w:tr>
        <w:tc>
          <w:tcPr>
            <w:tcW w:type="dxa" w:w="3504"/>
            <w:vAlign w:val="top"/>
          </w:tcPr>
          <w:p>
            <w:pPr>
              <w:spacing w:after="40"/>
            </w:pPr>
            <w:r>
              <w:rPr>
                <w:rFonts w:ascii="Aptos" w:hAnsi="Aptos"/>
                <w:sz w:val="18"/>
              </w:rPr>
              <w:t>Faith under trial</w:t>
            </w:r>
          </w:p>
        </w:tc>
        <w:tc>
          <w:tcPr>
            <w:tcW w:type="dxa" w:w="3504"/>
            <w:vAlign w:val="top"/>
          </w:tcPr>
          <w:p>
            <w:pPr>
              <w:spacing w:after="40"/>
            </w:pPr>
            <w:r>
              <w:rPr>
                <w:rFonts w:ascii="Aptos" w:hAnsi="Aptos"/>
                <w:sz w:val="18"/>
              </w:rPr>
              <w:t>Daniel 3:17-18; Daniel 6:22</w:t>
            </w:r>
          </w:p>
        </w:tc>
        <w:tc>
          <w:tcPr>
            <w:tcW w:type="dxa" w:w="3504"/>
            <w:vAlign w:val="top"/>
          </w:tcPr>
          <w:p>
            <w:pPr>
              <w:spacing w:after="40"/>
            </w:pPr>
            <w:r>
              <w:rPr>
                <w:rFonts w:ascii="Aptos" w:hAnsi="Aptos"/>
                <w:sz w:val="18"/>
              </w:rPr>
              <w:t>What does courage look like when deliverance is not immediate?</w:t>
            </w:r>
          </w:p>
        </w:tc>
      </w:tr>
      <w:tr>
        <w:tc>
          <w:tcPr>
            <w:tcW w:type="dxa" w:w="3504"/>
            <w:vAlign w:val="top"/>
          </w:tcPr>
          <w:p>
            <w:pPr>
              <w:spacing w:after="40"/>
            </w:pPr>
            <w:r>
              <w:rPr>
                <w:rFonts w:ascii="Aptos" w:hAnsi="Aptos"/>
                <w:sz w:val="18"/>
              </w:rPr>
              <w:t>Prayer and song in trouble</w:t>
            </w:r>
          </w:p>
        </w:tc>
        <w:tc>
          <w:tcPr>
            <w:tcW w:type="dxa" w:w="3504"/>
            <w:vAlign w:val="top"/>
          </w:tcPr>
          <w:p>
            <w:pPr>
              <w:spacing w:after="40"/>
            </w:pPr>
            <w:r>
              <w:rPr>
                <w:rFonts w:ascii="Aptos" w:hAnsi="Aptos"/>
                <w:sz w:val="18"/>
              </w:rPr>
              <w:t>Acts 16:25-26</w:t>
            </w:r>
          </w:p>
        </w:tc>
        <w:tc>
          <w:tcPr>
            <w:tcW w:type="dxa" w:w="3504"/>
            <w:vAlign w:val="top"/>
          </w:tcPr>
          <w:p>
            <w:pPr>
              <w:spacing w:after="40"/>
            </w:pPr>
            <w:r>
              <w:rPr>
                <w:rFonts w:ascii="Aptos" w:hAnsi="Aptos"/>
                <w:sz w:val="18"/>
              </w:rPr>
              <w:t>How can worship become testimony in difficult places?</w:t>
            </w:r>
          </w:p>
        </w:tc>
      </w:tr>
    </w:tbl>
    <w:p>
      <w:pPr>
        <w:pStyle w:val="Heading2"/>
      </w:pPr>
      <w:r>
        <w:rPr>
          <w:rFonts w:ascii="Aptos Display" w:hAnsi="Aptos Display"/>
          <w:color w:val="6B4D24"/>
        </w:rPr>
        <w:t>Stanza and Theme Study</w:t>
      </w:r>
    </w:p>
    <w:p>
      <w:pPr>
        <w:spacing w:after="100" w:line="250" w:lineRule="auto"/>
      </w:pPr>
      <w:r>
        <w:rPr>
          <w:rFonts w:ascii="Aptos" w:hAnsi="Aptos"/>
          <w:color w:val="2A2A2A"/>
          <w:sz w:val="20"/>
        </w:rPr>
        <w:t>Repeated testimony: The repeated central phrase functions like a congregational witness. It is simple, memorable, and communal, inviting worshipers to name the faith they have received and desire to live.</w:t>
      </w:r>
    </w:p>
    <w:p>
      <w:pPr>
        <w:spacing w:after="100" w:line="250" w:lineRule="auto"/>
      </w:pPr>
      <w:r>
        <w:rPr>
          <w:rFonts w:ascii="Aptos" w:hAnsi="Aptos"/>
          <w:color w:val="2A2A2A"/>
          <w:sz w:val="20"/>
        </w:rPr>
        <w:t>Family and heritage: Some versions name mothers, fathers, and earlier generations. This theme gives thanks for sincere faith handed down through ordinary believers, not only famous leaders.</w:t>
      </w:r>
    </w:p>
    <w:p>
      <w:pPr>
        <w:spacing w:after="100" w:line="250" w:lineRule="auto"/>
      </w:pPr>
      <w:r>
        <w:rPr>
          <w:rFonts w:ascii="Aptos" w:hAnsi="Aptos"/>
          <w:color w:val="2A2A2A"/>
          <w:sz w:val="20"/>
        </w:rPr>
        <w:t>Love and discipleship: The song moves beyond memory into practice. True Christian faith is recognized by Christlike love for others, not merely by attachment to familiar forms.</w:t>
      </w:r>
    </w:p>
    <w:p>
      <w:pPr>
        <w:spacing w:after="100" w:line="250" w:lineRule="auto"/>
      </w:pPr>
      <w:r>
        <w:rPr>
          <w:rFonts w:ascii="Aptos" w:hAnsi="Aptos"/>
          <w:color w:val="2A2A2A"/>
          <w:sz w:val="20"/>
        </w:rPr>
        <w:t>Biblical courage: References to Daniel, the Hebrew children, and Paul and Silas connect inherited faith with endurance under pressure, prayer in danger, and worship in confinement.</w:t>
      </w:r>
    </w:p>
    <w:p>
      <w:pPr>
        <w:spacing w:after="100" w:line="250" w:lineRule="auto"/>
      </w:pPr>
      <w:r>
        <w:rPr>
          <w:rFonts w:ascii="Aptos" w:hAnsi="Aptos"/>
          <w:color w:val="2A2A2A"/>
          <w:sz w:val="20"/>
        </w:rPr>
        <w:t>Hope at the end: The heavenward and deathbed themes teach that the faith of Christ sustains believers in life, in suffering, and at the final hour.</w:t>
      </w:r>
    </w:p>
    <w:p>
      <w:pPr>
        <w:pStyle w:val="Heading2"/>
      </w:pPr>
      <w:r>
        <w:rPr>
          <w:rFonts w:ascii="Aptos Display" w:hAnsi="Aptos Display"/>
          <w:color w:val="6B4D24"/>
        </w:rPr>
        <w:t>Discussion Questions</w:t>
      </w:r>
    </w:p>
    <w:p>
      <w:pPr>
        <w:pStyle w:val="ListBullet"/>
        <w:spacing w:after="60"/>
      </w:pPr>
      <w:r>
        <w:rPr>
          <w:rFonts w:ascii="Aptos" w:hAnsi="Aptos"/>
          <w:color w:val="2A2A2A"/>
          <w:sz w:val="20"/>
        </w:rPr>
        <w:t>What does the phrase old time religion mean when interpreted through Jude 1:3?</w:t>
      </w:r>
    </w:p>
    <w:p>
      <w:pPr>
        <w:pStyle w:val="ListBullet"/>
        <w:spacing w:after="60"/>
      </w:pPr>
      <w:r>
        <w:rPr>
          <w:rFonts w:ascii="Aptos" w:hAnsi="Aptos"/>
          <w:color w:val="2A2A2A"/>
          <w:sz w:val="20"/>
        </w:rPr>
        <w:t>How can a church honor Christian heritage without idealizing every part of the past?</w:t>
      </w:r>
    </w:p>
    <w:p>
      <w:pPr>
        <w:pStyle w:val="ListBullet"/>
        <w:spacing w:after="60"/>
      </w:pPr>
      <w:r>
        <w:rPr>
          <w:rFonts w:ascii="Aptos" w:hAnsi="Aptos"/>
          <w:color w:val="2A2A2A"/>
          <w:sz w:val="20"/>
        </w:rPr>
        <w:t>Why is it valuable to acknowledge the song’s African American spiritual roots?</w:t>
      </w:r>
    </w:p>
    <w:p>
      <w:pPr>
        <w:pStyle w:val="ListBullet"/>
        <w:spacing w:after="60"/>
      </w:pPr>
      <w:r>
        <w:rPr>
          <w:rFonts w:ascii="Aptos" w:hAnsi="Aptos"/>
          <w:color w:val="2A2A2A"/>
          <w:sz w:val="20"/>
        </w:rPr>
        <w:t>How do the biblical examples in Daniel and Acts deepen the song’s message?</w:t>
      </w:r>
    </w:p>
    <w:p>
      <w:pPr>
        <w:pStyle w:val="ListBullet"/>
        <w:spacing w:after="60"/>
      </w:pPr>
      <w:r>
        <w:rPr>
          <w:rFonts w:ascii="Aptos" w:hAnsi="Aptos"/>
          <w:color w:val="2A2A2A"/>
          <w:sz w:val="20"/>
        </w:rPr>
        <w:t>What makes inherited faith become personal faith?</w:t>
      </w:r>
    </w:p>
    <w:p>
      <w:pPr>
        <w:pStyle w:val="ListBullet"/>
        <w:spacing w:after="60"/>
      </w:pPr>
      <w:r>
        <w:rPr>
          <w:rFonts w:ascii="Aptos" w:hAnsi="Aptos"/>
          <w:color w:val="2A2A2A"/>
          <w:sz w:val="20"/>
        </w:rPr>
        <w:t>Where does our congregation need renewed love, courage, prayer, or witness?</w:t>
      </w:r>
    </w:p>
    <w:p>
      <w:pPr>
        <w:pStyle w:val="ListBullet"/>
        <w:spacing w:after="60"/>
      </w:pPr>
      <w:r>
        <w:rPr>
          <w:rFonts w:ascii="Aptos" w:hAnsi="Aptos"/>
          <w:color w:val="2A2A2A"/>
          <w:sz w:val="20"/>
        </w:rPr>
        <w:t>How can we hand down a living faith to children, new believers, and future generations?</w:t>
      </w:r>
    </w:p>
    <w:p>
      <w:pPr>
        <w:pStyle w:val="Heading2"/>
      </w:pPr>
      <w:r>
        <w:rPr>
          <w:rFonts w:ascii="Aptos Display" w:hAnsi="Aptos Display"/>
          <w:color w:val="6B4D24"/>
        </w:rPr>
        <w:t>Practice This Week</w:t>
      </w:r>
    </w:p>
    <w:p>
      <w:pPr>
        <w:pStyle w:val="ListBullet"/>
        <w:spacing w:after="60"/>
      </w:pPr>
      <w:r>
        <w:rPr>
          <w:rFonts w:ascii="Aptos" w:hAnsi="Aptos"/>
          <w:color w:val="2A2A2A"/>
          <w:sz w:val="20"/>
        </w:rPr>
        <w:t>Thank God for one person who helped form your faith, and write that person’s name in a prayer journal.</w:t>
      </w:r>
    </w:p>
    <w:p>
      <w:pPr>
        <w:pStyle w:val="ListBullet"/>
        <w:spacing w:after="60"/>
      </w:pPr>
      <w:r>
        <w:rPr>
          <w:rFonts w:ascii="Aptos" w:hAnsi="Aptos"/>
          <w:color w:val="2A2A2A"/>
          <w:sz w:val="20"/>
        </w:rPr>
        <w:t>Read Jude 1:3 and John 13:34-35, asking how inherited faith should become visible in love.</w:t>
      </w:r>
    </w:p>
    <w:p>
      <w:pPr>
        <w:pStyle w:val="ListBullet"/>
        <w:spacing w:after="60"/>
      </w:pPr>
      <w:r>
        <w:rPr>
          <w:rFonts w:ascii="Aptos" w:hAnsi="Aptos"/>
          <w:color w:val="2A2A2A"/>
          <w:sz w:val="20"/>
        </w:rPr>
        <w:t>Encourage someone who is facing trial with a brief word, prayer, or Scripture promise.</w:t>
      </w:r>
    </w:p>
    <w:p>
      <w:pPr>
        <w:pStyle w:val="ListBullet"/>
        <w:spacing w:after="60"/>
      </w:pPr>
      <w:r>
        <w:rPr>
          <w:rFonts w:ascii="Aptos" w:hAnsi="Aptos"/>
          <w:color w:val="2A2A2A"/>
          <w:sz w:val="20"/>
        </w:rPr>
        <w:t>Sing or read a hymn from an earlier generation and ask what it teaches about faithful discipleship.</w:t>
      </w:r>
    </w:p>
    <w:p>
      <w:pPr>
        <w:pStyle w:val="Heading2"/>
      </w:pPr>
      <w:r>
        <w:rPr>
          <w:rFonts w:ascii="Aptos Display" w:hAnsi="Aptos Display"/>
          <w:color w:val="6B4D24"/>
        </w:rPr>
        <w:t>Optional Leader Notes</w:t>
      </w:r>
    </w:p>
    <w:p>
      <w:pPr>
        <w:spacing w:after="100" w:line="250" w:lineRule="auto"/>
      </w:pPr>
      <w:r>
        <w:rPr>
          <w:rFonts w:ascii="Aptos" w:hAnsi="Aptos"/>
          <w:color w:val="2A2A2A"/>
          <w:sz w:val="20"/>
        </w:rPr>
        <w:t>Guide the discussion away from vague nostalgia. Help the group define faithful old time religion as gospel faith that is received from the saints, lived in love, tested in suffering, and handed on with hope.</w:t>
      </w:r>
    </w:p>
    <w:p>
      <w:pPr>
        <w:pStyle w:val="Heading2"/>
      </w:pPr>
      <w:r>
        <w:rPr>
          <w:rFonts w:ascii="Aptos Display" w:hAnsi="Aptos Display"/>
          <w:color w:val="6B4D24"/>
        </w:rPr>
        <w:t>Closing Prayer</w:t>
      </w:r>
    </w:p>
    <w:p>
      <w:pPr>
        <w:spacing w:after="100" w:line="250" w:lineRule="auto"/>
      </w:pPr>
      <w:r>
        <w:rPr>
          <w:rFonts w:ascii="Aptos" w:hAnsi="Aptos"/>
          <w:color w:val="2A2A2A"/>
          <w:sz w:val="20"/>
        </w:rPr>
        <w:t>Lord Jesus Christ, give us the faith once delivered to your people. Make it sincere in us, visible in love, courageous in trial, and joyful in witness. Teach us to receive the faithful testimony of those before us and to hand it on with humility and hope. Amen.</w:t>
      </w:r>
    </w:p>
    <w:p>
      <w:pPr>
        <w:spacing w:before="160"/>
        <w:jc w:val="center"/>
      </w:pPr>
      <w:r>
        <w:rPr>
          <w:rFonts w:ascii="Aptos" w:hAnsi="Aptos"/>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64" w:bottom="835"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5F5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 the Old Time Religion</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