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line="250" w:lineRule="auto"/>
        <w:jc w:val="center"/>
      </w:pPr>
      <w:r>
        <w:rPr>
          <w:rFonts w:ascii="Aptos Display" w:hAnsi="Aptos Display"/>
          <w:b/>
          <w:color w:val="1F2A44"/>
          <w:sz w:val="44"/>
        </w:rPr>
        <w:t>A Child of the King</w:t>
      </w:r>
    </w:p>
    <w:p>
      <w:pPr>
        <w:spacing w:after="60" w:line="250" w:lineRule="auto"/>
        <w:jc w:val="center"/>
      </w:pPr>
      <w:r>
        <w:rPr>
          <w:i/>
          <w:color w:val="B08433"/>
          <w:sz w:val="22"/>
        </w:rPr>
        <w:t>Sermon Outline</w:t>
      </w:r>
    </w:p>
    <w:p>
      <w:pPr>
        <w:spacing w:after="60" w:line="250" w:lineRule="auto"/>
      </w:pPr>
    </w:p>
    <w:p>
      <w:pPr>
        <w:spacing w:after="60" w:line="250" w:lineRule="auto"/>
      </w:pPr>
      <w:r>
        <w:t>Sermon Title: The Dignity of Belonging to God</w:t>
      </w:r>
    </w:p>
    <w:p>
      <w:pPr>
        <w:spacing w:after="60" w:line="250" w:lineRule="auto"/>
      </w:pPr>
      <w:r>
        <w:t>Main Text: Romans 8:16-17</w:t>
      </w:r>
    </w:p>
    <w:p>
      <w:pPr>
        <w:spacing w:after="60" w:line="250" w:lineRule="auto"/>
      </w:pPr>
      <w:r>
        <w:t>Supporting Scriptures: Galatians 4:7; 1 John 3:1; 2 Corinthians 6:18; 1 Peter 1:4; Psalm 50:10</w:t>
      </w:r>
    </w:p>
    <w:tbl>
      <w:tblPr>
        <w:tblW w:type="auto" w:w="0"/>
        <w:jc w:val="center"/>
        <w:tblLook w:firstColumn="1" w:firstRow="1" w:lastColumn="0" w:lastRow="0" w:noHBand="0" w:noVBand="1" w:val="04A0"/>
      </w:tblPr>
      <w:tblGrid>
        <w:gridCol w:w="10368"/>
      </w:tblGrid>
      <w:tr>
        <w:tc>
          <w:tcPr>
            <w:tcW w:type="dxa" w:w="10368"/>
            <w:shd w:fill="F7F2E7"/>
            <w:tcBorders>
              <w:top w:sz="8" w:val="single" w:color="D7C18A"/>
              <w:left w:sz="8" w:val="single" w:color="D7C18A"/>
              <w:bottom w:sz="8" w:val="single" w:color="D7C18A"/>
              <w:right w:sz="8" w:val="single" w:color="D7C18A"/>
            </w:tcBorders>
          </w:tcPr>
          <w:p>
            <w:r>
              <w:rPr>
                <w:b/>
                <w:color w:val="1F2A44"/>
                <w:sz w:val="22"/>
              </w:rPr>
              <w:t>Big Idea</w:t>
            </w:r>
          </w:p>
          <w:p>
            <w:pPr>
              <w:spacing w:after="40"/>
            </w:pPr>
            <w:r>
              <w:t>Because believers are received by God through Christ, they can live with humble assurance, present contentment, and future hope.</w:t>
            </w:r>
          </w:p>
        </w:tc>
      </w:tr>
    </w:tbl>
    <w:p>
      <w:pPr>
        <w:pStyle w:val="Heading1"/>
        <w:spacing w:after="60" w:line="250" w:lineRule="auto"/>
      </w:pPr>
      <w:r>
        <w:t>Introduction</w:t>
      </w:r>
    </w:p>
    <w:p>
      <w:pPr>
        <w:spacing w:after="60" w:line="250" w:lineRule="auto"/>
      </w:pPr>
      <w:r>
        <w:t>Many people spend their lives trying to prove that they belong. They look to possessions, family background, recognition, usefulness, or religious performance. A Child of the King speaks to that deep hunger, but it answers it with the gospel: Christians belong to God because of Christ.</w:t>
      </w:r>
    </w:p>
    <w:p>
      <w:pPr>
        <w:spacing w:after="60" w:line="250" w:lineRule="auto"/>
      </w:pPr>
      <w:r>
        <w:t>The hymn is not a promise that every believer will become wealthy or comfortable. It is a confession that the poorest saint in Christ has a Father, a Savior, a family, and an inheritance no loss can erase.</w:t>
      </w:r>
    </w:p>
    <w:p>
      <w:pPr>
        <w:pStyle w:val="Heading1"/>
        <w:spacing w:after="60" w:line="250" w:lineRule="auto"/>
      </w:pPr>
      <w:r>
        <w:t>1. The Spirit teaches believers to know God as Father</w:t>
      </w:r>
    </w:p>
    <w:p>
      <w:pPr>
        <w:spacing w:after="60" w:line="250" w:lineRule="auto"/>
      </w:pPr>
      <w:r>
        <w:t>Explanation: Romans 8:16 says that the Spirit testifies with our spirit that we are children of God. Christian assurance begins with God’s action, not with self-persuasion.</w:t>
      </w:r>
    </w:p>
    <w:p>
      <w:pPr>
        <w:spacing w:after="60" w:line="250" w:lineRule="auto"/>
      </w:pPr>
      <w:r>
        <w:t>Hymn connection: The hymn’s opening confidence rests in the abundance and care of the Father. God’s riches are not merely material; they reveal his authority, generosity, and covenant faithfulness.</w:t>
      </w:r>
    </w:p>
    <w:p>
      <w:pPr>
        <w:spacing w:after="60" w:line="250" w:lineRule="auto"/>
      </w:pPr>
      <w:r>
        <w:t>Illustration idea: A child may not understand all of a parent’s resources, but belonging changes how the child enters the house.</w:t>
      </w:r>
    </w:p>
    <w:p>
      <w:pPr>
        <w:spacing w:after="60" w:line="250" w:lineRule="auto"/>
      </w:pPr>
      <w:r>
        <w:t>Application: Invite anxious believers to pray from identity before they pray from need.</w:t>
      </w:r>
    </w:p>
    <w:p>
      <w:pPr>
        <w:pStyle w:val="Heading1"/>
        <w:spacing w:after="60" w:line="250" w:lineRule="auto"/>
      </w:pPr>
      <w:r>
        <w:t>2. Adoption comes through Christ, not human worthiness</w:t>
      </w:r>
    </w:p>
    <w:p>
      <w:pPr>
        <w:spacing w:after="60" w:line="250" w:lineRule="auto"/>
      </w:pPr>
      <w:r>
        <w:t>Explanation: Galatians 4:7 declares that believers are no longer slaves but heirs through God. This status is granted by grace through union with Christ.</w:t>
      </w:r>
    </w:p>
    <w:p>
      <w:pPr>
        <w:spacing w:after="60" w:line="250" w:lineRule="auto"/>
      </w:pPr>
      <w:r>
        <w:t>Hymn connection: The hymn’s testimony of royal belonging must be heard through the saving work of Jesus. Without Christ, the language would become presumption; in Christ, it becomes worship.</w:t>
      </w:r>
    </w:p>
    <w:p>
      <w:pPr>
        <w:spacing w:after="60" w:line="250" w:lineRule="auto"/>
      </w:pPr>
      <w:r>
        <w:t>Illustration idea: A legal adoption changes a person’s name, home, obligations, and future by the action of another.</w:t>
      </w:r>
    </w:p>
    <w:p>
      <w:pPr>
        <w:spacing w:after="60" w:line="250" w:lineRule="auto"/>
      </w:pPr>
      <w:r>
        <w:t>Application: Call hearers away from self-made identity and toward receiving what the Father gives in the Son.</w:t>
      </w:r>
    </w:p>
    <w:p>
      <w:pPr>
        <w:pStyle w:val="Heading1"/>
        <w:spacing w:after="60" w:line="250" w:lineRule="auto"/>
      </w:pPr>
      <w:r>
        <w:t>3. God’s children may be poor in the world yet rich in hope</w:t>
      </w:r>
    </w:p>
    <w:p>
      <w:pPr>
        <w:spacing w:after="60" w:line="250" w:lineRule="auto"/>
      </w:pPr>
      <w:r>
        <w:t>Explanation: First Peter 1:4 speaks of an inheritance that is imperishable, undefiled, and unfading. Psalm 50:10 reminds us that all creation belongs to the Lord.</w:t>
      </w:r>
    </w:p>
    <w:p>
      <w:pPr>
        <w:spacing w:after="60" w:line="250" w:lineRule="auto"/>
      </w:pPr>
      <w:r>
        <w:t>Hymn connection: The hymn contrasts earthly limitation with the Father’s abundance. It comforts believers who have little by reminding them that poverty, obscurity, and weakness do not define their final standing.</w:t>
      </w:r>
    </w:p>
    <w:p>
      <w:pPr>
        <w:spacing w:after="60" w:line="250" w:lineRule="auto"/>
      </w:pPr>
      <w:r>
        <w:t>Illustration idea: A person may rent a small room while holding a deed to a greater inheritance that is sure to come.</w:t>
      </w:r>
    </w:p>
    <w:p>
      <w:pPr>
        <w:spacing w:after="60" w:line="250" w:lineRule="auto"/>
      </w:pPr>
      <w:r>
        <w:t>Application: Help the congregation distinguish Christian hope from materialism. The gospel gives contentment, not entitlement.</w:t>
      </w:r>
    </w:p>
    <w:p>
      <w:pPr>
        <w:pStyle w:val="Heading1"/>
        <w:spacing w:after="60" w:line="250" w:lineRule="auto"/>
      </w:pPr>
      <w:r>
        <w:t>4. Royal identity produces humble praise and faithful living</w:t>
      </w:r>
    </w:p>
    <w:p>
      <w:pPr>
        <w:spacing w:after="60" w:line="250" w:lineRule="auto"/>
      </w:pPr>
      <w:r>
        <w:t>Explanation: First John 3:1 calls believers to behold the Father’s love. Adoption is meant to produce wonder, holiness, gratitude, and family resemblance.</w:t>
      </w:r>
    </w:p>
    <w:p>
      <w:pPr>
        <w:spacing w:after="60" w:line="250" w:lineRule="auto"/>
      </w:pPr>
      <w:r>
        <w:t>Hymn connection: The hymn becomes testimony when sung honestly: “I belong to God, therefore I can praise, endure, and serve.”</w:t>
      </w:r>
    </w:p>
    <w:p>
      <w:pPr>
        <w:spacing w:after="60" w:line="250" w:lineRule="auto"/>
      </w:pPr>
      <w:r>
        <w:t>Illustration idea: An heir dishonors the family when privilege becomes arrogance; the true response is gratitude and responsibility.</w:t>
      </w:r>
    </w:p>
    <w:p>
      <w:pPr>
        <w:spacing w:after="60" w:line="250" w:lineRule="auto"/>
      </w:pPr>
      <w:r>
        <w:t>Application: Press toward daily practices of assurance: prayer, service, generosity, and encouragement of the forgotten.</w:t>
      </w:r>
    </w:p>
    <w:p>
      <w:pPr>
        <w:pStyle w:val="Heading1"/>
        <w:spacing w:after="60" w:line="250" w:lineRule="auto"/>
      </w:pPr>
      <w:r>
        <w:t>Christ-Centered Connection</w:t>
      </w:r>
    </w:p>
    <w:p>
      <w:pPr>
        <w:spacing w:after="60" w:line="250" w:lineRule="auto"/>
      </w:pPr>
      <w:r>
        <w:t>The congregation’s confidence rests on Christ. The eternal Son became poor for sinners, bore shame, rose in victory, and brings his people into the Father’s house. Believers are heirs with Christ because they are joined to Christ.</w:t>
      </w:r>
    </w:p>
    <w:p>
      <w:pPr>
        <w:pStyle w:val="Heading1"/>
        <w:spacing w:after="60" w:line="250" w:lineRule="auto"/>
      </w:pPr>
      <w:r>
        <w:t>Pastoral Applications</w:t>
      </w:r>
    </w:p>
    <w:p>
      <w:pPr>
        <w:pStyle w:val="ListBullet"/>
        <w:spacing w:after="60" w:line="250" w:lineRule="auto"/>
      </w:pPr>
      <w:r>
        <w:t>To the anxious: your place with God is not secured by perfect feelings but by Christ.</w:t>
      </w:r>
    </w:p>
    <w:p>
      <w:pPr>
        <w:pStyle w:val="ListBullet"/>
        <w:spacing w:after="60" w:line="250" w:lineRule="auto"/>
      </w:pPr>
      <w:r>
        <w:t>To the weary: your present hardship is not the measure of your inheritance.</w:t>
      </w:r>
    </w:p>
    <w:p>
      <w:pPr>
        <w:pStyle w:val="ListBullet"/>
        <w:spacing w:after="60" w:line="250" w:lineRule="auto"/>
      </w:pPr>
      <w:r>
        <w:t>To the proud: being a child of the King is gift, not achievement.</w:t>
      </w:r>
    </w:p>
    <w:p>
      <w:pPr>
        <w:pStyle w:val="ListBullet"/>
        <w:spacing w:after="60" w:line="250" w:lineRule="auto"/>
      </w:pPr>
      <w:r>
        <w:t>To the overlooked: the Father knows your name and receives you in his Son.</w:t>
      </w:r>
    </w:p>
    <w:p>
      <w:pPr>
        <w:pStyle w:val="ListBullet"/>
        <w:spacing w:after="60" w:line="250" w:lineRule="auto"/>
      </w:pPr>
      <w:r>
        <w:t>To the hopeful: let future inheritance make present service joyful.</w:t>
      </w:r>
    </w:p>
    <w:p>
      <w:pPr>
        <w:pStyle w:val="Heading1"/>
        <w:spacing w:after="60" w:line="250" w:lineRule="auto"/>
      </w:pPr>
      <w:r>
        <w:t>Conclusion and Call to Response</w:t>
      </w:r>
    </w:p>
    <w:p>
      <w:pPr>
        <w:spacing w:after="60" w:line="250" w:lineRule="auto"/>
      </w:pPr>
      <w:r>
        <w:t>A Child of the King gives the church a simple but searching confession: identity is received before it is achieved. The gospel says that those who come to Christ are welcomed into the Father’s family. Therefore, receive the Father’s love, rest in Christ’s grace, and live as an heir whose future is secure.</w:t>
      </w:r>
    </w:p>
    <w:p>
      <w:pPr>
        <w:pStyle w:val="Heading1"/>
        <w:spacing w:after="60" w:line="250" w:lineRule="auto"/>
      </w:pPr>
      <w:r>
        <w:t>Suggested Closing Prayer</w:t>
      </w:r>
    </w:p>
    <w:p>
      <w:pPr>
        <w:spacing w:after="60" w:line="250" w:lineRule="auto"/>
      </w:pPr>
      <w:r>
        <w:t>Gracious Father, through your Son and by your Spirit, teach us to know ourselves as your children. Where we are anxious, give assurance; where we are proud, give humility; where we are weary, give hope. Make us glad servants in your house until faith becomes sight. Amen.</w:t>
      </w:r>
    </w:p>
    <w:tbl>
      <w:tblPr>
        <w:tblW w:type="auto" w:w="0"/>
        <w:jc w:val="center"/>
        <w:tblLook w:firstColumn="1" w:firstRow="1" w:lastColumn="0" w:lastRow="0" w:noHBand="0" w:noVBand="1" w:val="04A0"/>
      </w:tblPr>
      <w:tblGrid>
        <w:gridCol w:w="10368"/>
      </w:tblGrid>
      <w:tr>
        <w:tc>
          <w:tcPr>
            <w:tcW w:type="dxa" w:w="10368"/>
            <w:shd w:fill="F3EFE6"/>
            <w:tcBorders>
              <w:top w:sz="8" w:val="single" w:color="D7C18A"/>
              <w:left w:sz="8" w:val="single" w:color="D7C18A"/>
              <w:bottom w:sz="8" w:val="single" w:color="D7C18A"/>
              <w:right w:sz="8" w:val="single" w:color="D7C18A"/>
            </w:tcBorders>
          </w:tcPr>
          <w:p>
            <w:r>
              <w:rPr>
                <w:b/>
                <w:color w:val="1F2A44"/>
                <w:sz w:val="22"/>
              </w:rPr>
              <w:t>Usage Notice</w:t>
            </w:r>
          </w:p>
          <w:p>
            <w:pPr>
              <w:spacing w:after="40"/>
            </w:pPr>
            <w:r>
              <w:t>© HymnInfo.com. Free for personal, church, classroom, and small-group teaching use. Please do not sell, repost, or redistribute as downloadable files without permission.</w:t>
            </w:r>
          </w:p>
        </w:tc>
      </w:tr>
    </w:tbl>
    <w:sectPr w:rsidR="00FC693F" w:rsidRPr="0006063C" w:rsidSect="00034616">
      <w:footerReference w:type="default" r:id="rId9"/>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2D2D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563D2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563D2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F2A4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Child of the King</dc:title>
  <dc:subject>Hymn study resource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
</cp:coreProperties>
</file>