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6A3036"/>
          <w:sz w:val="42"/>
        </w:rPr>
        <w:t>Gabriel's Message</w:t>
      </w:r>
    </w:p>
    <w:p>
      <w:pPr>
        <w:jc w:val="center"/>
      </w:pPr>
      <w:r>
        <w:rPr>
          <w:rFonts w:ascii="Aptos" w:hAnsi="Aptos"/>
          <w:i/>
          <w:color w:val="223E62"/>
          <w:sz w:val="21"/>
        </w:rPr>
        <w:t>Small Group Handout: Grace announced, Christ promised, faith responding</w:t>
      </w:r>
    </w:p>
    <w:p>
      <w:pPr>
        <w:pStyle w:val="Heading2"/>
      </w:pPr>
      <w:r>
        <w:t>Purpose</w:t>
      </w:r>
    </w:p>
    <w:p>
      <w:pPr>
        <w:spacing w:after="60" w:line="247" w:lineRule="auto"/>
      </w:pPr>
      <w:r>
        <w:rPr>
          <w:rFonts w:ascii="Aptos" w:hAnsi="Aptos"/>
          <w:color w:val="272727"/>
          <w:sz w:val="18"/>
        </w:rPr>
        <w:t>This study helps a group hear the Annunciation as Gospel: God sends his word, promises his Son, and teaches believers to answer with humble trust.</w:t>
      </w:r>
    </w:p>
    <w:p>
      <w:pPr>
        <w:pStyle w:val="Heading2"/>
      </w:pPr>
      <w:r>
        <w:t>Opening Reflection</w:t>
      </w:r>
    </w:p>
    <w:p>
      <w:pPr>
        <w:pStyle w:val="ListBullet"/>
        <w:spacing w:after="20" w:line="240" w:lineRule="auto"/>
      </w:pPr>
      <w:r>
        <w:rPr>
          <w:rFonts w:ascii="Aptos" w:hAnsi="Aptos"/>
          <w:color w:val="272727"/>
          <w:sz w:val="18"/>
        </w:rPr>
        <w:t>When has God’s word interrupted your assumptions or plans?</w:t>
      </w:r>
    </w:p>
    <w:p>
      <w:pPr>
        <w:pStyle w:val="ListBullet"/>
        <w:spacing w:after="20" w:line="240" w:lineRule="auto"/>
      </w:pPr>
      <w:r>
        <w:rPr>
          <w:rFonts w:ascii="Aptos" w:hAnsi="Aptos"/>
          <w:color w:val="272727"/>
          <w:sz w:val="18"/>
        </w:rPr>
        <w:t>What makes it difficult to receive grace before trying to prove yourself worthy?</w:t>
      </w:r>
    </w:p>
    <w:p>
      <w:pPr>
        <w:pStyle w:val="ListBullet"/>
        <w:spacing w:after="20" w:line="240" w:lineRule="auto"/>
      </w:pPr>
      <w:r>
        <w:rPr>
          <w:rFonts w:ascii="Aptos" w:hAnsi="Aptos"/>
          <w:color w:val="272727"/>
          <w:sz w:val="18"/>
        </w:rPr>
        <w:t>How does Advent teach us to wait, listen, and respond?</w:t>
      </w:r>
    </w:p>
    <w:p>
      <w:pPr>
        <w:pStyle w:val="Heading2"/>
      </w:pPr>
      <w:r>
        <w:t>Brief Hymn Background</w:t>
      </w:r>
    </w:p>
    <w:p>
      <w:pPr>
        <w:spacing w:after="60" w:line="247" w:lineRule="auto"/>
      </w:pPr>
      <w:r>
        <w:rPr>
          <w:rFonts w:ascii="Aptos" w:hAnsi="Aptos"/>
          <w:color w:val="272727"/>
          <w:sz w:val="18"/>
        </w:rPr>
        <w:t>Gabriel’s Message is an English form of a traditional Basque Annunciation carol. Sabine Baring-Gould shaped the familiar English paraphrase, and Charles Edgar Pettman’s arrangement helped the melody enter English-language hymnals.</w:t>
      </w:r>
    </w:p>
    <w:p>
      <w:pPr>
        <w:spacing w:after="60" w:line="247" w:lineRule="auto"/>
      </w:pPr>
      <w:r>
        <w:rPr>
          <w:rFonts w:ascii="Aptos" w:hAnsi="Aptos"/>
          <w:color w:val="272727"/>
          <w:sz w:val="18"/>
        </w:rPr>
        <w:t>The carol tells Luke 1 with reverent simplicity: Gabriel comes, Mary hears the promise, the Son of God is announced, and faith answers the word of the Lord.</w:t>
      </w:r>
    </w:p>
    <w:p>
      <w:pPr>
        <w:pStyle w:val="Heading2"/>
      </w:pPr>
      <w:r>
        <w:t>Scripture for Study</w:t>
      </w:r>
    </w:p>
    <w:p>
      <w:pPr>
        <w:spacing w:after="60" w:line="247" w:lineRule="auto"/>
      </w:pPr>
      <w:r>
        <w:rPr>
          <w:rFonts w:ascii="Aptos" w:hAnsi="Aptos"/>
          <w:color w:val="272727"/>
          <w:sz w:val="18"/>
        </w:rPr>
        <w:t>Primary passage: Luke 1:26-38, especially Gabriel’s greeting in Luke 1:28 and Mary’s answer in Luke 1:38.</w:t>
      </w:r>
    </w:p>
    <w:p>
      <w:pPr>
        <w:spacing w:after="60" w:line="247" w:lineRule="auto"/>
      </w:pPr>
      <w:r>
        <w:rPr>
          <w:rFonts w:ascii="Aptos" w:hAnsi="Aptos"/>
          <w:color w:val="272727"/>
          <w:sz w:val="18"/>
        </w:rPr>
        <w:t>Related passages: Matthew 1:23; Luke 1:46-47; John 1:14; Galatians 4:4.</w:t>
      </w:r>
    </w:p>
    <w:p>
      <w:pPr>
        <w:pStyle w:val="Heading2"/>
      </w:pPr>
      <w:r>
        <w:t>Carol Movements</w:t>
      </w:r>
    </w:p>
    <w:p>
      <w:pPr>
        <w:pStyle w:val="Heading3"/>
      </w:pPr>
      <w:r>
        <w:t>1. A messenger comes</w:t>
      </w:r>
    </w:p>
    <w:p>
      <w:pPr>
        <w:spacing w:after="60" w:line="247" w:lineRule="auto"/>
      </w:pPr>
      <w:r>
        <w:rPr>
          <w:rFonts w:ascii="Aptos" w:hAnsi="Aptos"/>
          <w:color w:val="272727"/>
          <w:sz w:val="18"/>
        </w:rPr>
        <w:t>The carol begins with heaven entering ordinary life. God speaks before Mary acts.</w:t>
      </w:r>
    </w:p>
    <w:p>
      <w:pPr>
        <w:pStyle w:val="Heading3"/>
      </w:pPr>
      <w:r>
        <w:t>2. Grace is announced</w:t>
      </w:r>
    </w:p>
    <w:p>
      <w:pPr>
        <w:spacing w:after="60" w:line="247" w:lineRule="auto"/>
      </w:pPr>
      <w:r>
        <w:rPr>
          <w:rFonts w:ascii="Aptos" w:hAnsi="Aptos"/>
          <w:color w:val="272727"/>
          <w:sz w:val="18"/>
        </w:rPr>
        <w:t>Mary is favored by God. Her calling begins with divine mercy rather than personal achievement.</w:t>
      </w:r>
    </w:p>
    <w:p>
      <w:pPr>
        <w:pStyle w:val="Heading3"/>
      </w:pPr>
      <w:r>
        <w:t>3. The Son is promised</w:t>
      </w:r>
    </w:p>
    <w:p>
      <w:pPr>
        <w:spacing w:after="60" w:line="247" w:lineRule="auto"/>
      </w:pPr>
      <w:r>
        <w:rPr>
          <w:rFonts w:ascii="Aptos" w:hAnsi="Aptos"/>
          <w:color w:val="272727"/>
          <w:sz w:val="18"/>
        </w:rPr>
        <w:t>The child is Jesus, the holy Son of God, Immanuel, God with us.</w:t>
      </w:r>
    </w:p>
    <w:p>
      <w:pPr>
        <w:pStyle w:val="Heading3"/>
      </w:pPr>
      <w:r>
        <w:t>4. Faith receives the word</w:t>
      </w:r>
    </w:p>
    <w:p>
      <w:pPr>
        <w:spacing w:after="60" w:line="247" w:lineRule="auto"/>
      </w:pPr>
      <w:r>
        <w:rPr>
          <w:rFonts w:ascii="Aptos" w:hAnsi="Aptos"/>
          <w:color w:val="272727"/>
          <w:sz w:val="18"/>
        </w:rPr>
        <w:t>Mary’s response shows humble obedience: trust that places itself in God’s hands.</w:t>
      </w:r>
    </w:p>
    <w:p>
      <w:pPr>
        <w:pStyle w:val="Heading3"/>
      </w:pPr>
      <w:r>
        <w:t>5. Praise carries the message</w:t>
      </w:r>
    </w:p>
    <w:p>
      <w:pPr>
        <w:spacing w:after="60" w:line="247" w:lineRule="auto"/>
      </w:pPr>
      <w:r>
        <w:rPr>
          <w:rFonts w:ascii="Aptos" w:hAnsi="Aptos"/>
          <w:color w:val="272727"/>
          <w:sz w:val="18"/>
        </w:rPr>
        <w:t>The church joins the angelic announcement and sings the wonder of Christ’s coming.</w:t>
      </w:r>
    </w:p>
    <w:p>
      <w:r>
        <w:br w:type="page"/>
      </w:r>
    </w:p>
    <w:p>
      <w:pPr>
        <w:pStyle w:val="Heading2"/>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7B3036"/>
            <w:vAlign w:val="top"/>
          </w:tcPr>
          <w:p>
            <w:r/>
            <w:r>
              <w:rPr>
                <w:rFonts w:ascii="Aptos" w:hAnsi="Aptos"/>
                <w:b/>
                <w:color w:val="FFFFFF"/>
                <w:sz w:val="18"/>
              </w:rPr>
              <w:t>Carol Theme</w:t>
            </w:r>
          </w:p>
        </w:tc>
        <w:tc>
          <w:tcPr>
            <w:tcW w:type="dxa" w:w="3485"/>
            <w:shd w:fill="7B3036"/>
            <w:vAlign w:val="top"/>
          </w:tcPr>
          <w:p>
            <w:r/>
            <w:r>
              <w:rPr>
                <w:rFonts w:ascii="Aptos" w:hAnsi="Aptos"/>
                <w:b/>
                <w:color w:val="FFFFFF"/>
                <w:sz w:val="18"/>
              </w:rPr>
              <w:t>Scripture Connection</w:t>
            </w:r>
          </w:p>
        </w:tc>
        <w:tc>
          <w:tcPr>
            <w:tcW w:type="dxa" w:w="3485"/>
            <w:shd w:fill="7B3036"/>
            <w:vAlign w:val="top"/>
          </w:tcPr>
          <w:p>
            <w:r/>
            <w:r>
              <w:rPr>
                <w:rFonts w:ascii="Aptos" w:hAnsi="Aptos"/>
                <w:b/>
                <w:color w:val="FFFFFF"/>
                <w:sz w:val="18"/>
              </w:rPr>
              <w:t>Discussion Prompt</w:t>
            </w:r>
          </w:p>
        </w:tc>
      </w:tr>
      <w:tr>
        <w:tc>
          <w:tcPr>
            <w:tcW w:type="dxa" w:w="3485"/>
            <w:vAlign w:val="top"/>
          </w:tcPr>
          <w:p>
            <w:r/>
            <w:r>
              <w:rPr>
                <w:rFonts w:ascii="Aptos" w:hAnsi="Aptos"/>
                <w:b w:val="0"/>
                <w:color w:val="272727"/>
                <w:sz w:val="18"/>
              </w:rPr>
              <w:t>Divine initiative</w:t>
            </w:r>
          </w:p>
        </w:tc>
        <w:tc>
          <w:tcPr>
            <w:tcW w:type="dxa" w:w="3485"/>
            <w:vAlign w:val="top"/>
          </w:tcPr>
          <w:p>
            <w:r/>
            <w:r>
              <w:rPr>
                <w:rFonts w:ascii="Aptos" w:hAnsi="Aptos"/>
                <w:b w:val="0"/>
                <w:color w:val="272727"/>
                <w:sz w:val="18"/>
              </w:rPr>
              <w:t>Luke 1:28</w:t>
            </w:r>
          </w:p>
        </w:tc>
        <w:tc>
          <w:tcPr>
            <w:tcW w:type="dxa" w:w="3485"/>
            <w:vAlign w:val="top"/>
          </w:tcPr>
          <w:p>
            <w:r/>
            <w:r>
              <w:rPr>
                <w:rFonts w:ascii="Aptos" w:hAnsi="Aptos"/>
                <w:b w:val="0"/>
                <w:color w:val="272727"/>
                <w:sz w:val="18"/>
              </w:rPr>
              <w:t>What does it mean that God speaks first?</w:t>
            </w:r>
          </w:p>
        </w:tc>
      </w:tr>
      <w:tr>
        <w:tc>
          <w:tcPr>
            <w:tcW w:type="dxa" w:w="3485"/>
            <w:vAlign w:val="top"/>
          </w:tcPr>
          <w:p>
            <w:r/>
            <w:r>
              <w:rPr>
                <w:rFonts w:ascii="Aptos" w:hAnsi="Aptos"/>
                <w:b w:val="0"/>
                <w:color w:val="272727"/>
                <w:sz w:val="18"/>
              </w:rPr>
              <w:t>Holy fear and comfort</w:t>
            </w:r>
          </w:p>
        </w:tc>
        <w:tc>
          <w:tcPr>
            <w:tcW w:type="dxa" w:w="3485"/>
            <w:vAlign w:val="top"/>
          </w:tcPr>
          <w:p>
            <w:r/>
            <w:r>
              <w:rPr>
                <w:rFonts w:ascii="Aptos" w:hAnsi="Aptos"/>
                <w:b w:val="0"/>
                <w:color w:val="272727"/>
                <w:sz w:val="18"/>
              </w:rPr>
              <w:t>Luke 1:30</w:t>
            </w:r>
          </w:p>
        </w:tc>
        <w:tc>
          <w:tcPr>
            <w:tcW w:type="dxa" w:w="3485"/>
            <w:vAlign w:val="top"/>
          </w:tcPr>
          <w:p>
            <w:r/>
            <w:r>
              <w:rPr>
                <w:rFonts w:ascii="Aptos" w:hAnsi="Aptos"/>
                <w:b w:val="0"/>
                <w:color w:val="272727"/>
                <w:sz w:val="18"/>
              </w:rPr>
              <w:t>How does God’s promise answer fear?</w:t>
            </w:r>
          </w:p>
        </w:tc>
      </w:tr>
      <w:tr>
        <w:tc>
          <w:tcPr>
            <w:tcW w:type="dxa" w:w="3485"/>
            <w:vAlign w:val="top"/>
          </w:tcPr>
          <w:p>
            <w:r/>
            <w:r>
              <w:rPr>
                <w:rFonts w:ascii="Aptos" w:hAnsi="Aptos"/>
                <w:b w:val="0"/>
                <w:color w:val="272727"/>
                <w:sz w:val="18"/>
              </w:rPr>
              <w:t>Incarnation</w:t>
            </w:r>
          </w:p>
        </w:tc>
        <w:tc>
          <w:tcPr>
            <w:tcW w:type="dxa" w:w="3485"/>
            <w:vAlign w:val="top"/>
          </w:tcPr>
          <w:p>
            <w:r/>
            <w:r>
              <w:rPr>
                <w:rFonts w:ascii="Aptos" w:hAnsi="Aptos"/>
                <w:b w:val="0"/>
                <w:color w:val="272727"/>
                <w:sz w:val="18"/>
              </w:rPr>
              <w:t>Luke 1:35; John 1:14</w:t>
            </w:r>
          </w:p>
        </w:tc>
        <w:tc>
          <w:tcPr>
            <w:tcW w:type="dxa" w:w="3485"/>
            <w:vAlign w:val="top"/>
          </w:tcPr>
          <w:p>
            <w:r/>
            <w:r>
              <w:rPr>
                <w:rFonts w:ascii="Aptos" w:hAnsi="Aptos"/>
                <w:b w:val="0"/>
                <w:color w:val="272727"/>
                <w:sz w:val="18"/>
              </w:rPr>
              <w:t>Why does the identity of the child matter?</w:t>
            </w:r>
          </w:p>
        </w:tc>
      </w:tr>
      <w:tr>
        <w:tc>
          <w:tcPr>
            <w:tcW w:type="dxa" w:w="3485"/>
            <w:vAlign w:val="top"/>
          </w:tcPr>
          <w:p>
            <w:r/>
            <w:r>
              <w:rPr>
                <w:rFonts w:ascii="Aptos" w:hAnsi="Aptos"/>
                <w:b w:val="0"/>
                <w:color w:val="272727"/>
                <w:sz w:val="18"/>
              </w:rPr>
              <w:t>Obedient faith</w:t>
            </w:r>
          </w:p>
        </w:tc>
        <w:tc>
          <w:tcPr>
            <w:tcW w:type="dxa" w:w="3485"/>
            <w:vAlign w:val="top"/>
          </w:tcPr>
          <w:p>
            <w:r/>
            <w:r>
              <w:rPr>
                <w:rFonts w:ascii="Aptos" w:hAnsi="Aptos"/>
                <w:b w:val="0"/>
                <w:color w:val="272727"/>
                <w:sz w:val="18"/>
              </w:rPr>
              <w:t>Luke 1:38</w:t>
            </w:r>
          </w:p>
        </w:tc>
        <w:tc>
          <w:tcPr>
            <w:tcW w:type="dxa" w:w="3485"/>
            <w:vAlign w:val="top"/>
          </w:tcPr>
          <w:p>
            <w:r/>
            <w:r>
              <w:rPr>
                <w:rFonts w:ascii="Aptos" w:hAnsi="Aptos"/>
                <w:b w:val="0"/>
                <w:color w:val="272727"/>
                <w:sz w:val="18"/>
              </w:rPr>
              <w:t>What does faithful surrender look like today?</w:t>
            </w:r>
          </w:p>
        </w:tc>
      </w:tr>
      <w:tr>
        <w:tc>
          <w:tcPr>
            <w:tcW w:type="dxa" w:w="3485"/>
            <w:vAlign w:val="top"/>
          </w:tcPr>
          <w:p>
            <w:r/>
            <w:r>
              <w:rPr>
                <w:rFonts w:ascii="Aptos" w:hAnsi="Aptos"/>
                <w:b w:val="0"/>
                <w:color w:val="272727"/>
                <w:sz w:val="18"/>
              </w:rPr>
              <w:t>Advent praise</w:t>
            </w:r>
          </w:p>
        </w:tc>
        <w:tc>
          <w:tcPr>
            <w:tcW w:type="dxa" w:w="3485"/>
            <w:vAlign w:val="top"/>
          </w:tcPr>
          <w:p>
            <w:r/>
            <w:r>
              <w:rPr>
                <w:rFonts w:ascii="Aptos" w:hAnsi="Aptos"/>
                <w:b w:val="0"/>
                <w:color w:val="272727"/>
                <w:sz w:val="18"/>
              </w:rPr>
              <w:t>Luke 1:46-47</w:t>
            </w:r>
          </w:p>
        </w:tc>
        <w:tc>
          <w:tcPr>
            <w:tcW w:type="dxa" w:w="3485"/>
            <w:vAlign w:val="top"/>
          </w:tcPr>
          <w:p>
            <w:r/>
            <w:r>
              <w:rPr>
                <w:rFonts w:ascii="Aptos" w:hAnsi="Aptos"/>
                <w:b w:val="0"/>
                <w:color w:val="272727"/>
                <w:sz w:val="18"/>
              </w:rPr>
              <w:t>How does the message become worship?</w:t>
            </w:r>
          </w:p>
        </w:tc>
      </w:tr>
    </w:tbl>
    <w:p>
      <w:pPr>
        <w:pStyle w:val="Heading2"/>
      </w:pPr>
      <w:r>
        <w:t>Discussion Questions</w:t>
      </w:r>
    </w:p>
    <w:p>
      <w:pPr>
        <w:pStyle w:val="ListBullet"/>
        <w:spacing w:after="20" w:line="240" w:lineRule="auto"/>
      </w:pPr>
      <w:r>
        <w:rPr>
          <w:rFonts w:ascii="Aptos" w:hAnsi="Aptos"/>
          <w:color w:val="272727"/>
          <w:sz w:val="18"/>
        </w:rPr>
        <w:t>What does Gabriel’s greeting reveal about God’s character?</w:t>
      </w:r>
    </w:p>
    <w:p>
      <w:pPr>
        <w:pStyle w:val="ListBullet"/>
        <w:spacing w:after="20" w:line="240" w:lineRule="auto"/>
      </w:pPr>
      <w:r>
        <w:rPr>
          <w:rFonts w:ascii="Aptos" w:hAnsi="Aptos"/>
          <w:color w:val="272727"/>
          <w:sz w:val="18"/>
        </w:rPr>
        <w:t>How does the carol keep the focus on Christ while honoring Mary’s faithful role?</w:t>
      </w:r>
    </w:p>
    <w:p>
      <w:pPr>
        <w:pStyle w:val="ListBullet"/>
        <w:spacing w:after="20" w:line="240" w:lineRule="auto"/>
      </w:pPr>
      <w:r>
        <w:rPr>
          <w:rFonts w:ascii="Aptos" w:hAnsi="Aptos"/>
          <w:color w:val="272727"/>
          <w:sz w:val="18"/>
        </w:rPr>
        <w:t>Where do you see grace, fear, promise, and obedience in Luke 1?</w:t>
      </w:r>
    </w:p>
    <w:p>
      <w:pPr>
        <w:pStyle w:val="ListBullet"/>
        <w:spacing w:after="20" w:line="240" w:lineRule="auto"/>
      </w:pPr>
      <w:r>
        <w:rPr>
          <w:rFonts w:ascii="Aptos" w:hAnsi="Aptos"/>
          <w:color w:val="272727"/>
          <w:sz w:val="18"/>
        </w:rPr>
        <w:t>Why is the title “Son of God” central to the carol’s meaning?</w:t>
      </w:r>
    </w:p>
    <w:p>
      <w:pPr>
        <w:pStyle w:val="ListBullet"/>
        <w:spacing w:after="20" w:line="240" w:lineRule="auto"/>
      </w:pPr>
      <w:r>
        <w:rPr>
          <w:rFonts w:ascii="Aptos" w:hAnsi="Aptos"/>
          <w:color w:val="272727"/>
          <w:sz w:val="18"/>
        </w:rPr>
        <w:t>What habits help Christians receive God’s word rather than resist it?</w:t>
      </w:r>
    </w:p>
    <w:p>
      <w:pPr>
        <w:pStyle w:val="ListBullet"/>
        <w:spacing w:after="20" w:line="240" w:lineRule="auto"/>
      </w:pPr>
      <w:r>
        <w:rPr>
          <w:rFonts w:ascii="Aptos" w:hAnsi="Aptos"/>
          <w:color w:val="272727"/>
          <w:sz w:val="18"/>
        </w:rPr>
        <w:t>How can this carol deepen the way a congregation celebrates Advent?</w:t>
      </w:r>
    </w:p>
    <w:p>
      <w:pPr>
        <w:pStyle w:val="Heading2"/>
      </w:pPr>
      <w:r>
        <w:t>Practice This Week</w:t>
      </w:r>
    </w:p>
    <w:p>
      <w:pPr>
        <w:pStyle w:val="ListBullet"/>
        <w:spacing w:after="20" w:line="240" w:lineRule="auto"/>
      </w:pPr>
      <w:r>
        <w:rPr>
          <w:rFonts w:ascii="Aptos" w:hAnsi="Aptos"/>
          <w:color w:val="272727"/>
          <w:sz w:val="18"/>
        </w:rPr>
        <w:t>Read Luke 1:26-38 slowly once each day and pray Mary’s response in your own words.</w:t>
      </w:r>
    </w:p>
    <w:p>
      <w:pPr>
        <w:pStyle w:val="ListBullet"/>
        <w:spacing w:after="20" w:line="240" w:lineRule="auto"/>
      </w:pPr>
      <w:r>
        <w:rPr>
          <w:rFonts w:ascii="Aptos" w:hAnsi="Aptos"/>
          <w:color w:val="272727"/>
          <w:sz w:val="18"/>
        </w:rPr>
        <w:t>Name one fear that makes obedience difficult, then answer it with a promise from the passage.</w:t>
      </w:r>
    </w:p>
    <w:p>
      <w:pPr>
        <w:pStyle w:val="ListBullet"/>
        <w:spacing w:after="20" w:line="240" w:lineRule="auto"/>
      </w:pPr>
      <w:r>
        <w:rPr>
          <w:rFonts w:ascii="Aptos" w:hAnsi="Aptos"/>
          <w:color w:val="272727"/>
          <w:sz w:val="18"/>
        </w:rPr>
        <w:t>Encourage one person by reminding them that God’s grace comes before our achievement.</w:t>
      </w:r>
    </w:p>
    <w:p>
      <w:pPr>
        <w:pStyle w:val="Heading2"/>
      </w:pPr>
      <w:r>
        <w:t>Optional Leader Notes</w:t>
      </w:r>
    </w:p>
    <w:p>
      <w:pPr>
        <w:spacing w:after="60" w:line="247" w:lineRule="auto"/>
      </w:pPr>
      <w:r>
        <w:rPr>
          <w:rFonts w:ascii="Aptos" w:hAnsi="Aptos"/>
          <w:color w:val="272727"/>
          <w:sz w:val="18"/>
        </w:rPr>
        <w:t>Guide the group away from speculation and toward the biblical movement: God speaks, Christ is promised, Mary responds, and the church praises. The goal is not to debate every tradition about Mary, but to see how the Annunciation magnifies the mercy of God in Christ.</w:t>
      </w:r>
    </w:p>
    <w:p>
      <w:pPr>
        <w:pStyle w:val="Heading2"/>
      </w:pPr>
      <w:r>
        <w:t>Closing Prayer</w:t>
      </w:r>
    </w:p>
    <w:p>
      <w:pPr>
        <w:spacing w:after="60" w:line="247" w:lineRule="auto"/>
      </w:pPr>
      <w:r>
        <w:rPr>
          <w:rFonts w:ascii="Aptos" w:hAnsi="Aptos"/>
          <w:color w:val="272727"/>
          <w:sz w:val="18"/>
        </w:rPr>
        <w:t>Lord, open our ears to your word, our hearts to your grace, and our lives to your calling. Teach us to trust Christ, rejoice in his coming, and answer you with humble obedience. Amen.</w:t>
      </w:r>
    </w:p>
    <w:p>
      <w:pPr>
        <w:spacing w:before="80"/>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6A3036"/>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6A303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6A303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Gabriel's Message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