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Georgia" w:hAnsi="Georgia"/>
          <w:b/>
          <w:color w:val="15293B"/>
          <w:sz w:val="44"/>
        </w:rPr>
        <w:t>We'll Understand It Better By and By</w:t>
      </w:r>
    </w:p>
    <w:p>
      <w:pPr>
        <w:jc w:val="center"/>
      </w:pPr>
      <w:r>
        <w:rPr>
          <w:color w:val="6B5E4A"/>
          <w:sz w:val="21"/>
        </w:rPr>
        <w:t>Small Group Handout</w:t>
      </w:r>
    </w:p>
    <w:p>
      <w:pPr>
        <w:jc w:val="center"/>
      </w:pPr>
      <w:r>
        <w:rPr>
          <w:color w:val="C89B3C"/>
          <w:sz w:val="16"/>
        </w:rPr>
        <w:t>━━━━━━━━━━━━━━━━━━━━━━━━━━━━</w:t>
      </w:r>
    </w:p>
    <w:p>
      <w:pPr>
        <w:spacing w:after="40"/>
      </w:pPr>
      <w:r>
        <w:rPr>
          <w:i w:val="0"/>
        </w:rPr>
        <w:t>Purpose: This study helps a group explore how the hymn teaches patient faith, honest lament, and hope in God’s final clarity.</w:t>
      </w:r>
    </w:p>
    <w:p>
      <w:pPr>
        <w:pStyle w:val="Heading1"/>
      </w:pPr>
      <w:r>
        <w:t>Opening Reflection</w:t>
      </w:r>
    </w:p>
    <w:p>
      <w:pPr>
        <w:pStyle w:val="ListBullet"/>
        <w:spacing w:after="20"/>
      </w:pPr>
      <w:r>
        <w:t>When have you had to trust God without understanding the reason for your circumstances?</w:t>
      </w:r>
    </w:p>
    <w:p>
      <w:pPr>
        <w:pStyle w:val="ListBullet"/>
        <w:spacing w:after="20"/>
      </w:pPr>
      <w:r>
        <w:t>What kinds of words are most helpful when someone is grieving or confused?</w:t>
      </w:r>
    </w:p>
    <w:p>
      <w:pPr>
        <w:pStyle w:val="ListBullet"/>
        <w:spacing w:after="20"/>
      </w:pPr>
      <w:r>
        <w:t>How does singing together help the church carry sorrow and hope at the same time?</w:t>
      </w:r>
    </w:p>
    <w:p>
      <w:pPr>
        <w:pStyle w:val="Heading1"/>
      </w:pPr>
      <w:r>
        <w:t>Brief Hymn Background</w:t>
      </w:r>
    </w:p>
    <w:tbl>
      <w:tblPr>
        <w:tblStyle w:val="TableGrid"/>
        <w:tblW w:type="auto" w:w="0"/>
        <w:jc w:val="center"/>
        <w:tblLayout w:type="autofit"/>
        <w:tblLook w:firstColumn="1" w:firstRow="1" w:lastColumn="0" w:lastRow="0" w:noHBand="0" w:noVBand="1" w:val="04A0"/>
      </w:tblPr>
      <w:tblGrid>
        <w:gridCol w:w="5285"/>
        <w:gridCol w:w="5285"/>
      </w:tblGrid>
      <w:tr>
        <w:tc>
          <w:tcPr>
            <w:tcW w:type="dxa" w:w="5285"/>
            <w:shd w:fill="F5EBD9"/>
            <w:vAlign w:val="top"/>
            <w:tcMar>
              <w:top w:w="80" w:type="dxa"/>
              <w:start w:w="80" w:type="dxa"/>
              <w:bottom w:w="80" w:type="dxa"/>
              <w:end w:w="80" w:type="dxa"/>
            </w:tcMar>
          </w:tcPr>
          <w:p>
            <w:r/>
            <w:r>
              <w:rPr>
                <w:b/>
                <w:color w:val="15293B"/>
                <w:sz w:val="19"/>
              </w:rPr>
              <w:t>Author and composer</w:t>
            </w:r>
          </w:p>
        </w:tc>
        <w:tc>
          <w:tcPr>
            <w:tcW w:type="dxa" w:w="5285"/>
            <w:shd w:fill="FFFFFF"/>
            <w:vAlign w:val="top"/>
            <w:tcMar>
              <w:top w:w="80" w:type="dxa"/>
              <w:start w:w="80" w:type="dxa"/>
              <w:bottom w:w="80" w:type="dxa"/>
              <w:end w:w="80" w:type="dxa"/>
            </w:tcMar>
          </w:tcPr>
          <w:p>
            <w:r/>
            <w:r>
              <w:rPr>
                <w:b w:val="0"/>
                <w:color w:val="1F2933"/>
                <w:sz w:val="19"/>
              </w:rPr>
              <w:t>Charles Albert Tindley (1851-1933), African American Methodist Episcopal minister, preacher, and gospel songwriter.</w:t>
            </w:r>
          </w:p>
        </w:tc>
      </w:tr>
      <w:tr>
        <w:tc>
          <w:tcPr>
            <w:tcW w:type="dxa" w:w="5285"/>
            <w:shd w:fill="F5EBD9"/>
            <w:vAlign w:val="top"/>
            <w:tcMar>
              <w:top w:w="80" w:type="dxa"/>
              <w:start w:w="80" w:type="dxa"/>
              <w:bottom w:w="80" w:type="dxa"/>
              <w:end w:w="80" w:type="dxa"/>
            </w:tcMar>
          </w:tcPr>
          <w:p>
            <w:r/>
            <w:r>
              <w:rPr>
                <w:b/>
                <w:color w:val="15293B"/>
                <w:sz w:val="19"/>
              </w:rPr>
              <w:t>Publication note</w:t>
            </w:r>
          </w:p>
        </w:tc>
        <w:tc>
          <w:tcPr>
            <w:tcW w:type="dxa" w:w="5285"/>
            <w:shd w:fill="FFFFFF"/>
            <w:vAlign w:val="top"/>
            <w:tcMar>
              <w:top w:w="80" w:type="dxa"/>
              <w:start w:w="80" w:type="dxa"/>
              <w:bottom w:w="80" w:type="dxa"/>
              <w:end w:w="80" w:type="dxa"/>
            </w:tcMar>
          </w:tcPr>
          <w:p>
            <w:r/>
            <w:r>
              <w:rPr>
                <w:b w:val="0"/>
                <w:color w:val="1F2933"/>
                <w:sz w:val="19"/>
              </w:rPr>
              <w:t>First published in Soul Echoes in 1905.</w:t>
            </w:r>
          </w:p>
        </w:tc>
      </w:tr>
      <w:tr>
        <w:tc>
          <w:tcPr>
            <w:tcW w:type="dxa" w:w="5285"/>
            <w:shd w:fill="F5EBD9"/>
            <w:vAlign w:val="top"/>
            <w:tcMar>
              <w:top w:w="80" w:type="dxa"/>
              <w:start w:w="80" w:type="dxa"/>
              <w:bottom w:w="80" w:type="dxa"/>
              <w:end w:w="80" w:type="dxa"/>
            </w:tcMar>
          </w:tcPr>
          <w:p>
            <w:r/>
            <w:r>
              <w:rPr>
                <w:b/>
                <w:color w:val="15293B"/>
                <w:sz w:val="19"/>
              </w:rPr>
              <w:t>Tune</w:t>
            </w:r>
          </w:p>
        </w:tc>
        <w:tc>
          <w:tcPr>
            <w:tcW w:type="dxa" w:w="5285"/>
            <w:shd w:fill="FFFFFF"/>
            <w:vAlign w:val="top"/>
            <w:tcMar>
              <w:top w:w="80" w:type="dxa"/>
              <w:start w:w="80" w:type="dxa"/>
              <w:bottom w:w="80" w:type="dxa"/>
              <w:end w:w="80" w:type="dxa"/>
            </w:tcMar>
          </w:tcPr>
          <w:p>
            <w:r/>
            <w:r>
              <w:rPr>
                <w:b w:val="0"/>
                <w:color w:val="1F2933"/>
                <w:sz w:val="19"/>
              </w:rPr>
              <w:t>BY AND BY, commonly treated as an irregular gospel song with refrain.</w:t>
            </w:r>
          </w:p>
        </w:tc>
      </w:tr>
      <w:tr>
        <w:tc>
          <w:tcPr>
            <w:tcW w:type="dxa" w:w="5285"/>
            <w:shd w:fill="F5EBD9"/>
            <w:vAlign w:val="top"/>
            <w:tcMar>
              <w:top w:w="80" w:type="dxa"/>
              <w:start w:w="80" w:type="dxa"/>
              <w:bottom w:w="80" w:type="dxa"/>
              <w:end w:w="80" w:type="dxa"/>
            </w:tcMar>
          </w:tcPr>
          <w:p>
            <w:r/>
            <w:r>
              <w:rPr>
                <w:b/>
                <w:color w:val="15293B"/>
                <w:sz w:val="19"/>
              </w:rPr>
              <w:t>Hymn tradition</w:t>
            </w:r>
          </w:p>
        </w:tc>
        <w:tc>
          <w:tcPr>
            <w:tcW w:type="dxa" w:w="5285"/>
            <w:shd w:fill="FFFFFF"/>
            <w:vAlign w:val="top"/>
            <w:tcMar>
              <w:top w:w="80" w:type="dxa"/>
              <w:start w:w="80" w:type="dxa"/>
              <w:bottom w:w="80" w:type="dxa"/>
              <w:end w:w="80" w:type="dxa"/>
            </w:tcMar>
          </w:tcPr>
          <w:p>
            <w:r/>
            <w:r>
              <w:rPr>
                <w:b w:val="0"/>
                <w:color w:val="1F2933"/>
                <w:sz w:val="19"/>
              </w:rPr>
              <w:t>Early African American gospel hymnody; widely sung in gospel collections, Protestant hymnals, choirs, and congregational worship.</w:t>
            </w:r>
          </w:p>
        </w:tc>
      </w:tr>
    </w:tbl>
    <w:p>
      <w:pPr>
        <w:pStyle w:val="Heading1"/>
      </w:pPr>
      <w:r>
        <w:t>Scripture Foundation</w:t>
      </w:r>
    </w:p>
    <w:p>
      <w:pPr>
        <w:spacing w:after="40"/>
      </w:pPr>
      <w:r>
        <w:rPr>
          <w:i w:val="0"/>
        </w:rPr>
        <w:t>Primary text: 1 Corinthians 13:12 - “For now we see in a mirror, dimly, but then face to face. Now I know in part, but then I will know fully, even as I was also fully known.”</w:t>
      </w:r>
    </w:p>
    <w:p>
      <w:pPr>
        <w:spacing w:after="40"/>
      </w:pPr>
      <w:r>
        <w:rPr>
          <w:i w:val="0"/>
        </w:rPr>
        <w:t>Supporting Scriptures: John 13:7; Psalm 32:8; Proverbs 3:5-6; Romans 8:18; Revelation 21:4.</w:t>
      </w:r>
    </w:p>
    <w:p>
      <w:pPr>
        <w:pStyle w:val="Heading1"/>
      </w:pPr>
      <w:r>
        <w:t>Stanza-by-Stanza Study</w:t>
      </w:r>
    </w:p>
    <w:p>
      <w:pPr>
        <w:pStyle w:val="Heading2"/>
      </w:pPr>
      <w:r>
        <w:t>Stanza 1 - Life on the restless sea</w:t>
      </w:r>
    </w:p>
    <w:p>
      <w:pPr>
        <w:spacing w:after="40"/>
      </w:pPr>
      <w:r>
        <w:rPr>
          <w:i w:val="0"/>
        </w:rPr>
        <w:t>The opening image presents believers as tossed by trouble and unable to understand all the ways God leads. The teaching emphasis is trust: God guides his people even before they can interpret the whole journey.</w:t>
      </w:r>
    </w:p>
    <w:p>
      <w:pPr>
        <w:pStyle w:val="Heading2"/>
      </w:pPr>
      <w:r>
        <w:t>Stanza 2 - Failed plans and heavy hearts</w:t>
      </w:r>
    </w:p>
    <w:p>
      <w:pPr>
        <w:spacing w:after="40"/>
      </w:pPr>
      <w:r>
        <w:rPr>
          <w:i w:val="0"/>
        </w:rPr>
        <w:t>The hymn names disappointment, darkness, and loneliness. It does not give quick explanations. Instead, it calls believers to keep trusting the Lord and his word when cherished plans collapse.</w:t>
      </w:r>
    </w:p>
    <w:p>
      <w:pPr>
        <w:pStyle w:val="Heading2"/>
      </w:pPr>
      <w:r>
        <w:t>Stanza 3 - Temptation and testing</w:t>
      </w:r>
    </w:p>
    <w:p>
      <w:pPr>
        <w:spacing w:after="40"/>
      </w:pPr>
      <w:r>
        <w:rPr>
          <w:i w:val="0"/>
        </w:rPr>
        <w:t>The hymn also speaks to spiritual struggle: hidden snares, wounds, and the painful question of why tests come when believers are trying to do right. It invites perseverance with humility and hope.</w:t>
      </w:r>
    </w:p>
    <w:p>
      <w:pPr>
        <w:pStyle w:val="Heading2"/>
      </w:pPr>
      <w:r>
        <w:t>Refrain - The promised morning</w:t>
      </w:r>
    </w:p>
    <w:p>
      <w:pPr>
        <w:spacing w:after="40"/>
      </w:pPr>
      <w:r>
        <w:rPr>
          <w:i w:val="0"/>
        </w:rPr>
        <w:t>The refrain turns the congregation toward the future gathering of God’s people. The church sings that fuller understanding belongs to the coming morning, when God’s people will tell the story of how grace carried them through.</w:t>
      </w:r>
    </w:p>
    <w:p>
      <w:pPr>
        <w:pStyle w:val="Heading1"/>
      </w:pPr>
      <w:r>
        <w:t>Study Table</w:t>
      </w:r>
    </w:p>
    <w:tbl>
      <w:tblPr>
        <w:tblStyle w:val="TableGrid"/>
        <w:tblW w:type="auto" w:w="0"/>
        <w:jc w:val="center"/>
        <w:tblLook w:firstColumn="1" w:firstRow="1" w:lastColumn="0" w:lastRow="0" w:noHBand="0" w:noVBand="1" w:val="04A0"/>
      </w:tblPr>
      <w:tblGrid>
        <w:gridCol w:w="3523"/>
        <w:gridCol w:w="3523"/>
        <w:gridCol w:w="3523"/>
      </w:tblGrid>
      <w:tr>
        <w:tc>
          <w:tcPr>
            <w:tcW w:type="dxa" w:w="3523"/>
            <w:shd w:fill="15293B"/>
            <w:tcMar>
              <w:top w:w="80" w:type="dxa"/>
              <w:start w:w="80" w:type="dxa"/>
              <w:bottom w:w="80" w:type="dxa"/>
              <w:end w:w="80" w:type="dxa"/>
            </w:tcMar>
          </w:tcPr>
          <w:p>
            <w:r/>
            <w:r>
              <w:rPr>
                <w:b/>
                <w:color w:val="FFFFFF"/>
                <w:sz w:val="19"/>
              </w:rPr>
              <w:t>Hymn Theme</w:t>
            </w:r>
          </w:p>
        </w:tc>
        <w:tc>
          <w:tcPr>
            <w:tcW w:type="dxa" w:w="3523"/>
            <w:shd w:fill="15293B"/>
            <w:tcMar>
              <w:top w:w="80" w:type="dxa"/>
              <w:start w:w="80" w:type="dxa"/>
              <w:bottom w:w="80" w:type="dxa"/>
              <w:end w:w="80" w:type="dxa"/>
            </w:tcMar>
          </w:tcPr>
          <w:p>
            <w:r/>
            <w:r>
              <w:rPr>
                <w:b/>
                <w:color w:val="FFFFFF"/>
                <w:sz w:val="19"/>
              </w:rPr>
              <w:t>Scripture Connection</w:t>
            </w:r>
          </w:p>
        </w:tc>
        <w:tc>
          <w:tcPr>
            <w:tcW w:type="dxa" w:w="3523"/>
            <w:shd w:fill="15293B"/>
            <w:tcMar>
              <w:top w:w="80" w:type="dxa"/>
              <w:start w:w="80" w:type="dxa"/>
              <w:bottom w:w="80" w:type="dxa"/>
              <w:end w:w="80" w:type="dxa"/>
            </w:tcMar>
          </w:tcPr>
          <w:p>
            <w:r/>
            <w:r>
              <w:rPr>
                <w:b/>
                <w:color w:val="FFFFFF"/>
                <w:sz w:val="19"/>
              </w:rPr>
              <w:t>Discussion Prompt</w:t>
            </w:r>
          </w:p>
        </w:tc>
      </w:tr>
      <w:tr>
        <w:tc>
          <w:tcPr>
            <w:tcW w:type="dxa" w:w="3523"/>
            <w:shd w:fill="F5EBD9"/>
            <w:tcMar>
              <w:top w:w="80" w:type="dxa"/>
              <w:start w:w="80" w:type="dxa"/>
              <w:bottom w:w="80" w:type="dxa"/>
              <w:end w:w="80" w:type="dxa"/>
            </w:tcMar>
          </w:tcPr>
          <w:p>
            <w:r/>
            <w:r>
              <w:rPr>
                <w:b/>
                <w:color w:val="15293B"/>
                <w:sz w:val="19"/>
              </w:rPr>
              <w:t>Partial understanding</w:t>
            </w:r>
          </w:p>
        </w:tc>
        <w:tc>
          <w:tcPr>
            <w:tcW w:type="dxa" w:w="3523"/>
            <w:shd w:fill="FFFFFF"/>
            <w:tcMar>
              <w:top w:w="80" w:type="dxa"/>
              <w:start w:w="80" w:type="dxa"/>
              <w:bottom w:w="80" w:type="dxa"/>
              <w:end w:w="80" w:type="dxa"/>
            </w:tcMar>
          </w:tcPr>
          <w:p>
            <w:r/>
            <w:r>
              <w:rPr>
                <w:b w:val="0"/>
                <w:color w:val="1F2933"/>
                <w:sz w:val="19"/>
              </w:rPr>
              <w:t>1 Corinthians 13:12</w:t>
            </w:r>
          </w:p>
        </w:tc>
        <w:tc>
          <w:tcPr>
            <w:tcW w:type="dxa" w:w="3523"/>
            <w:shd w:fill="FFFFFF"/>
            <w:tcMar>
              <w:top w:w="80" w:type="dxa"/>
              <w:start w:w="80" w:type="dxa"/>
              <w:bottom w:w="80" w:type="dxa"/>
              <w:end w:w="80" w:type="dxa"/>
            </w:tcMar>
          </w:tcPr>
          <w:p>
            <w:r/>
            <w:r>
              <w:rPr>
                <w:b w:val="0"/>
                <w:color w:val="1F2933"/>
                <w:sz w:val="19"/>
              </w:rPr>
              <w:t>Where do you feel the tension between what you know and what you cannot yet see?</w:t>
            </w:r>
          </w:p>
        </w:tc>
      </w:tr>
      <w:tr>
        <w:tc>
          <w:tcPr>
            <w:tcW w:type="dxa" w:w="3523"/>
            <w:shd w:fill="F5EBD9"/>
            <w:tcMar>
              <w:top w:w="80" w:type="dxa"/>
              <w:start w:w="80" w:type="dxa"/>
              <w:bottom w:w="80" w:type="dxa"/>
              <w:end w:w="80" w:type="dxa"/>
            </w:tcMar>
          </w:tcPr>
          <w:p>
            <w:r/>
            <w:r>
              <w:rPr>
                <w:b/>
                <w:color w:val="15293B"/>
                <w:sz w:val="19"/>
              </w:rPr>
              <w:t>Trusting God’s guidance</w:t>
            </w:r>
          </w:p>
        </w:tc>
        <w:tc>
          <w:tcPr>
            <w:tcW w:type="dxa" w:w="3523"/>
            <w:shd w:fill="FFFFFF"/>
            <w:tcMar>
              <w:top w:w="80" w:type="dxa"/>
              <w:start w:w="80" w:type="dxa"/>
              <w:bottom w:w="80" w:type="dxa"/>
              <w:end w:w="80" w:type="dxa"/>
            </w:tcMar>
          </w:tcPr>
          <w:p>
            <w:r/>
            <w:r>
              <w:rPr>
                <w:b w:val="0"/>
                <w:color w:val="1F2933"/>
                <w:sz w:val="19"/>
              </w:rPr>
              <w:t>Psalm 32:8; Proverbs 3:5-6</w:t>
            </w:r>
          </w:p>
        </w:tc>
        <w:tc>
          <w:tcPr>
            <w:tcW w:type="dxa" w:w="3523"/>
            <w:shd w:fill="FFFFFF"/>
            <w:tcMar>
              <w:top w:w="80" w:type="dxa"/>
              <w:start w:w="80" w:type="dxa"/>
              <w:bottom w:w="80" w:type="dxa"/>
              <w:end w:w="80" w:type="dxa"/>
            </w:tcMar>
          </w:tcPr>
          <w:p>
            <w:r/>
            <w:r>
              <w:rPr>
                <w:b w:val="0"/>
                <w:color w:val="1F2933"/>
                <w:sz w:val="19"/>
              </w:rPr>
              <w:t>What would it look like to follow God faithfully without full explanations?</w:t>
            </w:r>
          </w:p>
        </w:tc>
      </w:tr>
      <w:tr>
        <w:tc>
          <w:tcPr>
            <w:tcW w:type="dxa" w:w="3523"/>
            <w:shd w:fill="F5EBD9"/>
            <w:tcMar>
              <w:top w:w="80" w:type="dxa"/>
              <w:start w:w="80" w:type="dxa"/>
              <w:bottom w:w="80" w:type="dxa"/>
              <w:end w:w="80" w:type="dxa"/>
            </w:tcMar>
          </w:tcPr>
          <w:p>
            <w:r/>
            <w:r>
              <w:rPr>
                <w:b/>
                <w:color w:val="15293B"/>
                <w:sz w:val="19"/>
              </w:rPr>
              <w:t>Perseverance in suffering</w:t>
            </w:r>
          </w:p>
        </w:tc>
        <w:tc>
          <w:tcPr>
            <w:tcW w:type="dxa" w:w="3523"/>
            <w:shd w:fill="FFFFFF"/>
            <w:tcMar>
              <w:top w:w="80" w:type="dxa"/>
              <w:start w:w="80" w:type="dxa"/>
              <w:bottom w:w="80" w:type="dxa"/>
              <w:end w:w="80" w:type="dxa"/>
            </w:tcMar>
          </w:tcPr>
          <w:p>
            <w:r/>
            <w:r>
              <w:rPr>
                <w:b w:val="0"/>
                <w:color w:val="1F2933"/>
                <w:sz w:val="19"/>
              </w:rPr>
              <w:t>Romans 8:18</w:t>
            </w:r>
          </w:p>
        </w:tc>
        <w:tc>
          <w:tcPr>
            <w:tcW w:type="dxa" w:w="3523"/>
            <w:shd w:fill="FFFFFF"/>
            <w:tcMar>
              <w:top w:w="80" w:type="dxa"/>
              <w:start w:w="80" w:type="dxa"/>
              <w:bottom w:w="80" w:type="dxa"/>
              <w:end w:w="80" w:type="dxa"/>
            </w:tcMar>
          </w:tcPr>
          <w:p>
            <w:r/>
            <w:r>
              <w:rPr>
                <w:b w:val="0"/>
                <w:color w:val="1F2933"/>
                <w:sz w:val="19"/>
              </w:rPr>
              <w:t>How does future glory strengthen endurance in present pain?</w:t>
            </w:r>
          </w:p>
        </w:tc>
      </w:tr>
      <w:tr>
        <w:tc>
          <w:tcPr>
            <w:tcW w:type="dxa" w:w="3523"/>
            <w:shd w:fill="F5EBD9"/>
            <w:tcMar>
              <w:top w:w="80" w:type="dxa"/>
              <w:start w:w="80" w:type="dxa"/>
              <w:bottom w:w="80" w:type="dxa"/>
              <w:end w:w="80" w:type="dxa"/>
            </w:tcMar>
          </w:tcPr>
          <w:p>
            <w:r/>
            <w:r>
              <w:rPr>
                <w:b/>
                <w:color w:val="15293B"/>
                <w:sz w:val="19"/>
              </w:rPr>
              <w:t>Final comfort and hope</w:t>
            </w:r>
          </w:p>
        </w:tc>
        <w:tc>
          <w:tcPr>
            <w:tcW w:type="dxa" w:w="3523"/>
            <w:shd w:fill="FFFFFF"/>
            <w:tcMar>
              <w:top w:w="80" w:type="dxa"/>
              <w:start w:w="80" w:type="dxa"/>
              <w:bottom w:w="80" w:type="dxa"/>
              <w:end w:w="80" w:type="dxa"/>
            </w:tcMar>
          </w:tcPr>
          <w:p>
            <w:r/>
            <w:r>
              <w:rPr>
                <w:b w:val="0"/>
                <w:color w:val="1F2933"/>
                <w:sz w:val="19"/>
              </w:rPr>
              <w:t>Revelation 21:4</w:t>
            </w:r>
          </w:p>
        </w:tc>
        <w:tc>
          <w:tcPr>
            <w:tcW w:type="dxa" w:w="3523"/>
            <w:shd w:fill="FFFFFF"/>
            <w:tcMar>
              <w:top w:w="80" w:type="dxa"/>
              <w:start w:w="80" w:type="dxa"/>
              <w:bottom w:w="80" w:type="dxa"/>
              <w:end w:w="80" w:type="dxa"/>
            </w:tcMar>
          </w:tcPr>
          <w:p>
            <w:r/>
            <w:r>
              <w:rPr>
                <w:b w:val="0"/>
                <w:color w:val="1F2933"/>
                <w:sz w:val="19"/>
              </w:rPr>
              <w:t>How does the promise of God’s final restoration shape today’s worship?</w:t>
            </w:r>
          </w:p>
        </w:tc>
      </w:tr>
    </w:tbl>
    <w:p>
      <w:pPr>
        <w:pStyle w:val="Heading1"/>
      </w:pPr>
      <w:r>
        <w:t>Discussion Questions</w:t>
      </w:r>
    </w:p>
    <w:p>
      <w:pPr>
        <w:pStyle w:val="ListNumber"/>
        <w:spacing w:after="20"/>
      </w:pPr>
      <w:r>
        <w:t>What realities of suffering does this hymn name clearly?</w:t>
      </w:r>
    </w:p>
    <w:p>
      <w:pPr>
        <w:pStyle w:val="ListNumber"/>
        <w:spacing w:after="20"/>
      </w:pPr>
      <w:r>
        <w:t>How does 1 Corinthians 13:12 help explain the phrase “by and by”?</w:t>
      </w:r>
    </w:p>
    <w:p>
      <w:pPr>
        <w:pStyle w:val="ListNumber"/>
        <w:spacing w:after="20"/>
      </w:pPr>
      <w:r>
        <w:t>Why is it pastorally wise that the hymn does not offer easy explanations?</w:t>
      </w:r>
    </w:p>
    <w:p>
      <w:pPr>
        <w:pStyle w:val="ListNumber"/>
        <w:spacing w:after="20"/>
      </w:pPr>
      <w:r>
        <w:t>How do Psalm 32:8 and Proverbs 3:5-6 teach trust when the path is unclear?</w:t>
      </w:r>
    </w:p>
    <w:p>
      <w:pPr>
        <w:pStyle w:val="ListNumber"/>
        <w:spacing w:after="20"/>
      </w:pPr>
      <w:r>
        <w:t>How can hope in Revelation 21:4 comfort a grieving believer without minimizing pain?</w:t>
      </w:r>
    </w:p>
    <w:p>
      <w:pPr>
        <w:pStyle w:val="ListNumber"/>
        <w:spacing w:after="20"/>
      </w:pPr>
      <w:r>
        <w:t>What habits help you keep following Christ while questions remain unanswered?</w:t>
      </w:r>
    </w:p>
    <w:p>
      <w:pPr>
        <w:pStyle w:val="ListNumber"/>
        <w:spacing w:after="20"/>
      </w:pPr>
      <w:r>
        <w:t>How can your church sing this hymn in a way that strengthens people who are suffering?</w:t>
      </w:r>
    </w:p>
    <w:p>
      <w:pPr>
        <w:pStyle w:val="Heading1"/>
      </w:pPr>
      <w:r>
        <w:t>Practice This Week</w:t>
      </w:r>
    </w:p>
    <w:p>
      <w:pPr>
        <w:pStyle w:val="ListBullet"/>
        <w:spacing w:after="20"/>
      </w:pPr>
      <w:r>
        <w:t>Pray honestly about one unanswered question, then entrust it to the Lord.</w:t>
      </w:r>
    </w:p>
    <w:p>
      <w:pPr>
        <w:pStyle w:val="ListBullet"/>
        <w:spacing w:after="20"/>
      </w:pPr>
      <w:r>
        <w:t>Meditate on 1 Corinthians 13:12 and write one sentence of hope from the passage.</w:t>
      </w:r>
    </w:p>
    <w:p>
      <w:pPr>
        <w:pStyle w:val="ListBullet"/>
        <w:spacing w:after="20"/>
      </w:pPr>
      <w:r>
        <w:t>Encourage someone who is walking through uncertainty without offering shallow answers.</w:t>
      </w:r>
    </w:p>
    <w:p>
      <w:pPr>
        <w:pStyle w:val="ListBullet"/>
        <w:spacing w:after="20"/>
      </w:pPr>
      <w:r>
        <w:t>Sing or read the refrain slowly, making it a prayer of perseverance.</w:t>
      </w:r>
    </w:p>
    <w:p>
      <w:pPr>
        <w:pStyle w:val="ListBullet"/>
        <w:spacing w:after="20"/>
      </w:pPr>
      <w:r>
        <w:t>Give thanks for one way God has already guided you through a difficult season.</w:t>
      </w:r>
    </w:p>
    <w:p>
      <w:pPr>
        <w:pStyle w:val="Heading1"/>
      </w:pPr>
      <w:r>
        <w:t>Optional Leader Notes</w:t>
      </w:r>
    </w:p>
    <w:p>
      <w:pPr>
        <w:spacing w:after="40"/>
      </w:pPr>
      <w:r>
        <w:rPr>
          <w:i w:val="0"/>
        </w:rPr>
        <w:t>Keep the discussion grounded in Scripture. Allow space for honest grief. Emphasize that the hymn teaches patient trust, not instant explanation. The group should leave with hope in God’s character and future, not pressure to pretend everything is already clear.</w:t>
      </w:r>
    </w:p>
    <w:p>
      <w:pPr>
        <w:pStyle w:val="Heading1"/>
      </w:pPr>
      <w:r>
        <w:t>Closing Prayer</w:t>
      </w:r>
    </w:p>
    <w:p>
      <w:pPr>
        <w:spacing w:after="40"/>
      </w:pPr>
      <w:r>
        <w:rPr>
          <w:i w:val="0"/>
        </w:rPr>
        <w:t>Lord, when we see only in part, teach us to trust your wisdom. Guide us through storms, disappointments, and tests. Keep our hearts faithful until the promised morning, when you will comfort your people and make all things clear in your presence. Amen.</w:t>
      </w:r>
    </w:p>
    <w:sectPr w:rsidR="00FC693F" w:rsidRPr="0006063C" w:rsidSect="00034616">
      <w:footerReference w:type="default" r:id="rId9"/>
      <w:pgSz w:w="12240" w:h="15840"/>
      <w:pgMar w:top="792" w:right="835" w:bottom="792" w:left="835"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5E4A"/>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ascii="Georgia" w:hAnsi="Georgia"/>
      <w:b/>
      <w:bCs/>
      <w:color w:val="15293B"/>
      <w:sz w:val="30"/>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Theme="majorHAnsi" w:eastAsiaTheme="majorEastAsia" w:hAnsiTheme="majorHAnsi" w:cstheme="majorBidi" w:ascii="Aptos" w:hAnsi="Aptos"/>
      <w:b/>
      <w:bCs/>
      <w:color w:val="15293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b/>
      <w:color w:val="15293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