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b/>
        </w:rPr>
        <w:t>I'm But a Stranger Here</w:t>
      </w:r>
    </w:p>
    <w:p>
      <w:pPr>
        <w:jc w:val="center"/>
      </w:pPr>
      <w:r>
        <w:rPr>
          <w:i/>
          <w:color w:val="505050"/>
          <w:sz w:val="22"/>
        </w:rPr>
        <w:t>Small Group Handout • Christian pilgrimage, heavenly citizenship, and hope</w:t>
      </w:r>
    </w:p>
    <w:p>
      <w:pPr>
        <w:spacing w:after="80" w:line="252" w:lineRule="auto"/>
      </w:pPr>
      <w:r>
        <w:rPr>
          <w:rFonts w:ascii="Aptos" w:hAnsi="Aptos"/>
          <w:b w:val="0"/>
          <w:i w:val="0"/>
          <w:sz w:val="20"/>
        </w:rPr>
        <w:t>Purpose: This study helps a group read the hymn as a pastoral confession of Christian hope. It is especially useful for conversations about grief, perseverance, and living faithfully as pilgrims whose deepest home is with God.</w:t>
      </w:r>
    </w:p>
    <w:p>
      <w:pPr>
        <w:pStyle w:val="Heading1"/>
        <w:spacing w:before="160" w:after="60"/>
      </w:pPr>
      <w:r>
        <w:t>Opening Reflection</w:t>
      </w:r>
    </w:p>
    <w:p>
      <w:pPr>
        <w:pStyle w:val="ListBullet"/>
        <w:spacing w:after="40"/>
      </w:pPr>
      <w:r>
        <w:rPr>
          <w:rFonts w:ascii="Aptos" w:hAnsi="Aptos"/>
          <w:sz w:val="19"/>
        </w:rPr>
        <w:t>When have you felt most aware that this world is not your final home?</w:t>
      </w:r>
    </w:p>
    <w:p>
      <w:pPr>
        <w:pStyle w:val="ListBullet"/>
        <w:spacing w:after="40"/>
      </w:pPr>
      <w:r>
        <w:rPr>
          <w:rFonts w:ascii="Aptos" w:hAnsi="Aptos"/>
          <w:sz w:val="19"/>
        </w:rPr>
        <w:t>What comforts you when earthly plans, health, or relationships feel fragile?</w:t>
      </w:r>
    </w:p>
    <w:p>
      <w:pPr>
        <w:pStyle w:val="ListBullet"/>
        <w:spacing w:after="40"/>
      </w:pPr>
      <w:r>
        <w:rPr>
          <w:rFonts w:ascii="Aptos" w:hAnsi="Aptos"/>
          <w:sz w:val="19"/>
        </w:rPr>
        <w:t>How can longing for heaven strengthen faithfulness in daily life?</w:t>
      </w:r>
    </w:p>
    <w:p>
      <w:pPr>
        <w:pStyle w:val="Heading1"/>
        <w:spacing w:before="160" w:after="60"/>
      </w:pPr>
      <w:r>
        <w:t>Brief Hymn Background</w:t>
      </w:r>
    </w:p>
    <w:p>
      <w:pPr>
        <w:spacing w:after="80" w:line="252" w:lineRule="auto"/>
      </w:pPr>
      <w:r>
        <w:rPr>
          <w:rFonts w:ascii="Aptos" w:hAnsi="Aptos"/>
          <w:b w:val="0"/>
          <w:i w:val="0"/>
          <w:sz w:val="19"/>
        </w:rPr>
        <w:t>Thomas Rawson Taylor wrote the text in 1835. It was published after his death in 1836 and became widely known under related titles such as Heaven Is My Home. Taylor was preparing for Congregational ministry when illness shortened his life, giving the hymn a deeply pastoral setting.</w:t>
      </w:r>
    </w:p>
    <w:p>
      <w:pPr>
        <w:spacing w:after="80" w:line="252" w:lineRule="auto"/>
      </w:pPr>
      <w:r>
        <w:rPr>
          <w:rFonts w:ascii="Aptos" w:hAnsi="Aptos"/>
          <w:b w:val="0"/>
          <w:i w:val="0"/>
          <w:sz w:val="19"/>
        </w:rPr>
        <w:t>The tune ST. EDMUND is by Arthur Seymour Sullivan, best known in church music for several hymn tunes. The tune gives the hymn a gentle, consoling shape that supports its language of pilgrimage and hope.</w:t>
      </w:r>
    </w:p>
    <w:p>
      <w:pPr>
        <w:pStyle w:val="Heading1"/>
        <w:spacing w:before="160" w:after="60"/>
      </w:pPr>
      <w:r>
        <w:t>Scripture for Study</w:t>
      </w:r>
    </w:p>
    <w:p>
      <w:pPr>
        <w:spacing w:after="80" w:line="252" w:lineRule="auto"/>
      </w:pPr>
      <w:r>
        <w:rPr>
          <w:rFonts w:ascii="Aptos" w:hAnsi="Aptos"/>
          <w:b/>
          <w:i w:val="0"/>
          <w:sz w:val="19"/>
        </w:rPr>
        <w:t>Primary Scripture: Hebrews 11:13 - believers confess that they are strangers and pilgrims on the earth.</w:t>
      </w:r>
    </w:p>
    <w:p>
      <w:pPr>
        <w:spacing w:after="80" w:line="252" w:lineRule="auto"/>
      </w:pPr>
      <w:r>
        <w:rPr>
          <w:rFonts w:ascii="Aptos" w:hAnsi="Aptos"/>
          <w:b w:val="0"/>
          <w:i w:val="0"/>
          <w:sz w:val="19"/>
        </w:rPr>
        <w:t>Supporting passages: Philippians 3:20; 2 Corinthians 5:1; Hebrews 4:9; Hebrews 13:14; 1 Peter 2:11.</w:t>
      </w:r>
    </w:p>
    <w:p>
      <w:pPr>
        <w:pStyle w:val="Heading1"/>
        <w:spacing w:before="160" w:after="60"/>
      </w:pPr>
      <w:r>
        <w:t>Hymn Movement in Plain Language</w:t>
      </w:r>
    </w:p>
    <w:p>
      <w:pPr>
        <w:spacing w:after="80" w:line="252" w:lineRule="auto"/>
      </w:pPr>
      <w:r>
        <w:rPr>
          <w:rFonts w:ascii="Aptos" w:hAnsi="Aptos"/>
          <w:b/>
          <w:i w:val="0"/>
          <w:sz w:val="19"/>
        </w:rPr>
        <w:t>1. The pilgrim confession</w:t>
      </w:r>
    </w:p>
    <w:p>
      <w:pPr>
        <w:spacing w:after="80" w:line="252" w:lineRule="auto"/>
      </w:pPr>
      <w:r>
        <w:rPr>
          <w:rFonts w:ascii="Aptos" w:hAnsi="Aptos"/>
          <w:b w:val="0"/>
          <w:i w:val="0"/>
          <w:sz w:val="19"/>
        </w:rPr>
        <w:t>The hymn begins by naming the believer as a traveler. Earthly life matters, but it is not the final homeland.</w:t>
      </w:r>
    </w:p>
    <w:p>
      <w:pPr>
        <w:spacing w:after="80" w:line="252" w:lineRule="auto"/>
      </w:pPr>
      <w:r>
        <w:rPr>
          <w:rFonts w:ascii="Aptos" w:hAnsi="Aptos"/>
          <w:b/>
          <w:i w:val="0"/>
          <w:sz w:val="19"/>
        </w:rPr>
        <w:t>2. The hard road</w:t>
      </w:r>
    </w:p>
    <w:p>
      <w:pPr>
        <w:spacing w:after="80" w:line="252" w:lineRule="auto"/>
      </w:pPr>
      <w:r>
        <w:rPr>
          <w:rFonts w:ascii="Aptos" w:hAnsi="Aptos"/>
          <w:b w:val="0"/>
          <w:i w:val="0"/>
          <w:sz w:val="19"/>
        </w:rPr>
        <w:t>The hymn is honest about danger, storm, sorrow, and weariness. It does not minimize suffering.</w:t>
      </w:r>
    </w:p>
    <w:p>
      <w:pPr>
        <w:spacing w:after="80" w:line="252" w:lineRule="auto"/>
      </w:pPr>
      <w:r>
        <w:rPr>
          <w:rFonts w:ascii="Aptos" w:hAnsi="Aptos"/>
          <w:b/>
          <w:i w:val="0"/>
          <w:sz w:val="19"/>
        </w:rPr>
        <w:t>3. The promised home</w:t>
      </w:r>
    </w:p>
    <w:p>
      <w:pPr>
        <w:spacing w:after="80" w:line="252" w:lineRule="auto"/>
      </w:pPr>
      <w:r>
        <w:rPr>
          <w:rFonts w:ascii="Aptos" w:hAnsi="Aptos"/>
          <w:b w:val="0"/>
          <w:i w:val="0"/>
          <w:sz w:val="19"/>
        </w:rPr>
        <w:t>The heart turns toward the rest and dwelling God gives his people. Hope is anchored in God’s promise.</w:t>
      </w:r>
    </w:p>
    <w:p>
      <w:pPr>
        <w:spacing w:after="80" w:line="252" w:lineRule="auto"/>
      </w:pPr>
      <w:r>
        <w:rPr>
          <w:rFonts w:ascii="Aptos" w:hAnsi="Aptos"/>
          <w:b/>
          <w:i w:val="0"/>
          <w:sz w:val="19"/>
        </w:rPr>
        <w:t>4. Faithful response</w:t>
      </w:r>
    </w:p>
    <w:p>
      <w:pPr>
        <w:spacing w:after="80" w:line="252" w:lineRule="auto"/>
      </w:pPr>
      <w:r>
        <w:rPr>
          <w:rFonts w:ascii="Aptos" w:hAnsi="Aptos"/>
          <w:b w:val="0"/>
          <w:i w:val="0"/>
          <w:sz w:val="19"/>
        </w:rPr>
        <w:t>The singer learns to live with courage, holiness, and perseverance because Christ brings his people home.</w:t>
      </w:r>
    </w:p>
    <w:p>
      <w:pPr>
        <w:pStyle w:val="Heading1"/>
        <w:spacing w:before="160" w:after="60"/>
      </w:pPr>
      <w:r>
        <w:t>Study Table</w:t>
      </w:r>
    </w:p>
    <w:tbl>
      <w:tblPr>
        <w:tblStyle w:val="TableGrid"/>
        <w:tblW w:type="auto" w:w="0"/>
        <w:jc w:val="center"/>
        <w:tblLook w:firstColumn="1" w:firstRow="1" w:lastColumn="0" w:lastRow="0" w:noHBand="0" w:noVBand="1" w:val="04A0"/>
      </w:tblPr>
      <w:tblGrid>
        <w:gridCol w:w="3456"/>
        <w:gridCol w:w="3456"/>
        <w:gridCol w:w="3456"/>
      </w:tblGrid>
      <w:tr>
        <w:tc>
          <w:tcPr>
            <w:tcW w:type="dxa" w:w="3456"/>
            <w:shd w:fill="1A2B3E"/>
            <w:vAlign w:val="top"/>
          </w:tcPr>
          <w:p>
            <w:r/>
            <w:r>
              <w:rPr>
                <w:rFonts w:ascii="Aptos" w:hAnsi="Aptos"/>
                <w:b/>
                <w:color w:val="FFFFFF"/>
                <w:sz w:val="18"/>
              </w:rPr>
              <w:t>Hymn Theme</w:t>
            </w:r>
          </w:p>
        </w:tc>
        <w:tc>
          <w:tcPr>
            <w:tcW w:type="dxa" w:w="3456"/>
            <w:shd w:fill="1A2B3E"/>
            <w:vAlign w:val="top"/>
          </w:tcPr>
          <w:p>
            <w:r/>
            <w:r>
              <w:rPr>
                <w:rFonts w:ascii="Aptos" w:hAnsi="Aptos"/>
                <w:b/>
                <w:color w:val="FFFFFF"/>
                <w:sz w:val="18"/>
              </w:rPr>
              <w:t>Scripture Connection</w:t>
            </w:r>
          </w:p>
        </w:tc>
        <w:tc>
          <w:tcPr>
            <w:tcW w:type="dxa" w:w="3456"/>
            <w:shd w:fill="1A2B3E"/>
            <w:vAlign w:val="top"/>
          </w:tcPr>
          <w:p>
            <w:r/>
            <w:r>
              <w:rPr>
                <w:rFonts w:ascii="Aptos" w:hAnsi="Aptos"/>
                <w:b/>
                <w:color w:val="FFFFFF"/>
                <w:sz w:val="18"/>
              </w:rPr>
              <w:t>Discussion Prompt</w:t>
            </w:r>
          </w:p>
        </w:tc>
      </w:tr>
      <w:tr>
        <w:tc>
          <w:tcPr>
            <w:tcW w:type="dxa" w:w="3456"/>
            <w:vAlign w:val="top"/>
          </w:tcPr>
          <w:p>
            <w:r/>
            <w:r>
              <w:rPr>
                <w:rFonts w:ascii="Aptos" w:hAnsi="Aptos"/>
                <w:b w:val="0"/>
                <w:color w:val="000000"/>
                <w:sz w:val="17"/>
              </w:rPr>
              <w:t>Pilgrimage</w:t>
            </w:r>
          </w:p>
        </w:tc>
        <w:tc>
          <w:tcPr>
            <w:tcW w:type="dxa" w:w="3456"/>
            <w:vAlign w:val="top"/>
          </w:tcPr>
          <w:p>
            <w:r/>
            <w:r>
              <w:rPr>
                <w:rFonts w:ascii="Aptos" w:hAnsi="Aptos"/>
                <w:b w:val="0"/>
                <w:color w:val="000000"/>
                <w:sz w:val="17"/>
              </w:rPr>
              <w:t>Hebrews 11:13</w:t>
            </w:r>
          </w:p>
        </w:tc>
        <w:tc>
          <w:tcPr>
            <w:tcW w:type="dxa" w:w="3456"/>
            <w:vAlign w:val="top"/>
          </w:tcPr>
          <w:p>
            <w:r/>
            <w:r>
              <w:rPr>
                <w:rFonts w:ascii="Aptos" w:hAnsi="Aptos"/>
                <w:b w:val="0"/>
                <w:color w:val="000000"/>
                <w:sz w:val="17"/>
              </w:rPr>
              <w:t>What does this image clarify about Christian life?</w:t>
            </w:r>
          </w:p>
        </w:tc>
      </w:tr>
      <w:tr>
        <w:tc>
          <w:tcPr>
            <w:tcW w:type="dxa" w:w="3456"/>
            <w:vAlign w:val="top"/>
          </w:tcPr>
          <w:p>
            <w:r/>
            <w:r>
              <w:rPr>
                <w:rFonts w:ascii="Aptos" w:hAnsi="Aptos"/>
                <w:b w:val="0"/>
                <w:color w:val="000000"/>
                <w:sz w:val="17"/>
              </w:rPr>
              <w:t>Heavenly citizenship</w:t>
            </w:r>
          </w:p>
        </w:tc>
        <w:tc>
          <w:tcPr>
            <w:tcW w:type="dxa" w:w="3456"/>
            <w:vAlign w:val="top"/>
          </w:tcPr>
          <w:p>
            <w:r/>
            <w:r>
              <w:rPr>
                <w:rFonts w:ascii="Aptos" w:hAnsi="Aptos"/>
                <w:b w:val="0"/>
                <w:color w:val="000000"/>
                <w:sz w:val="17"/>
              </w:rPr>
              <w:t>Philippians 3:20</w:t>
            </w:r>
          </w:p>
        </w:tc>
        <w:tc>
          <w:tcPr>
            <w:tcW w:type="dxa" w:w="3456"/>
            <w:vAlign w:val="top"/>
          </w:tcPr>
          <w:p>
            <w:r/>
            <w:r>
              <w:rPr>
                <w:rFonts w:ascii="Aptos" w:hAnsi="Aptos"/>
                <w:b w:val="0"/>
                <w:color w:val="000000"/>
                <w:sz w:val="17"/>
              </w:rPr>
              <w:t>How should belonging to heaven shape earthly choices?</w:t>
            </w:r>
          </w:p>
        </w:tc>
      </w:tr>
      <w:tr>
        <w:tc>
          <w:tcPr>
            <w:tcW w:type="dxa" w:w="3456"/>
            <w:vAlign w:val="top"/>
          </w:tcPr>
          <w:p>
            <w:r/>
            <w:r>
              <w:rPr>
                <w:rFonts w:ascii="Aptos" w:hAnsi="Aptos"/>
                <w:b w:val="0"/>
                <w:color w:val="000000"/>
                <w:sz w:val="17"/>
              </w:rPr>
              <w:t>Eternal dwelling</w:t>
            </w:r>
          </w:p>
        </w:tc>
        <w:tc>
          <w:tcPr>
            <w:tcW w:type="dxa" w:w="3456"/>
            <w:vAlign w:val="top"/>
          </w:tcPr>
          <w:p>
            <w:r/>
            <w:r>
              <w:rPr>
                <w:rFonts w:ascii="Aptos" w:hAnsi="Aptos"/>
                <w:b w:val="0"/>
                <w:color w:val="000000"/>
                <w:sz w:val="17"/>
              </w:rPr>
              <w:t>2 Corinthians 5:1</w:t>
            </w:r>
          </w:p>
        </w:tc>
        <w:tc>
          <w:tcPr>
            <w:tcW w:type="dxa" w:w="3456"/>
            <w:vAlign w:val="top"/>
          </w:tcPr>
          <w:p>
            <w:r/>
            <w:r>
              <w:rPr>
                <w:rFonts w:ascii="Aptos" w:hAnsi="Aptos"/>
                <w:b w:val="0"/>
                <w:color w:val="000000"/>
                <w:sz w:val="17"/>
              </w:rPr>
              <w:t>What hope does God give when the body is weak?</w:t>
            </w:r>
          </w:p>
        </w:tc>
      </w:tr>
      <w:tr>
        <w:tc>
          <w:tcPr>
            <w:tcW w:type="dxa" w:w="3456"/>
            <w:vAlign w:val="top"/>
          </w:tcPr>
          <w:p>
            <w:r/>
            <w:r>
              <w:rPr>
                <w:rFonts w:ascii="Aptos" w:hAnsi="Aptos"/>
                <w:b w:val="0"/>
                <w:color w:val="000000"/>
                <w:sz w:val="17"/>
              </w:rPr>
              <w:t>Final rest</w:t>
            </w:r>
          </w:p>
        </w:tc>
        <w:tc>
          <w:tcPr>
            <w:tcW w:type="dxa" w:w="3456"/>
            <w:vAlign w:val="top"/>
          </w:tcPr>
          <w:p>
            <w:r/>
            <w:r>
              <w:rPr>
                <w:rFonts w:ascii="Aptos" w:hAnsi="Aptos"/>
                <w:b w:val="0"/>
                <w:color w:val="000000"/>
                <w:sz w:val="17"/>
              </w:rPr>
              <w:t>Hebrews 4:9</w:t>
            </w:r>
          </w:p>
        </w:tc>
        <w:tc>
          <w:tcPr>
            <w:tcW w:type="dxa" w:w="3456"/>
            <w:vAlign w:val="top"/>
          </w:tcPr>
          <w:p>
            <w:r/>
            <w:r>
              <w:rPr>
                <w:rFonts w:ascii="Aptos" w:hAnsi="Aptos"/>
                <w:b w:val="0"/>
                <w:color w:val="000000"/>
                <w:sz w:val="17"/>
              </w:rPr>
              <w:t>Where do you need the promise of rest today?</w:t>
            </w:r>
          </w:p>
        </w:tc>
      </w:tr>
      <w:tr>
        <w:tc>
          <w:tcPr>
            <w:tcW w:type="dxa" w:w="3456"/>
            <w:vAlign w:val="top"/>
          </w:tcPr>
          <w:p>
            <w:r/>
            <w:r>
              <w:rPr>
                <w:rFonts w:ascii="Aptos" w:hAnsi="Aptos"/>
                <w:b w:val="0"/>
                <w:color w:val="000000"/>
                <w:sz w:val="17"/>
              </w:rPr>
              <w:t>Holy living</w:t>
            </w:r>
          </w:p>
        </w:tc>
        <w:tc>
          <w:tcPr>
            <w:tcW w:type="dxa" w:w="3456"/>
            <w:vAlign w:val="top"/>
          </w:tcPr>
          <w:p>
            <w:r/>
            <w:r>
              <w:rPr>
                <w:rFonts w:ascii="Aptos" w:hAnsi="Aptos"/>
                <w:b w:val="0"/>
                <w:color w:val="000000"/>
                <w:sz w:val="17"/>
              </w:rPr>
              <w:t>1 Peter 2:11</w:t>
            </w:r>
          </w:p>
        </w:tc>
        <w:tc>
          <w:tcPr>
            <w:tcW w:type="dxa" w:w="3456"/>
            <w:vAlign w:val="top"/>
          </w:tcPr>
          <w:p>
            <w:r/>
            <w:r>
              <w:rPr>
                <w:rFonts w:ascii="Aptos" w:hAnsi="Aptos"/>
                <w:b w:val="0"/>
                <w:color w:val="000000"/>
                <w:sz w:val="17"/>
              </w:rPr>
              <w:t>How can pilgrims resist desires that pull the soul away from God?</w:t>
            </w:r>
          </w:p>
        </w:tc>
      </w:tr>
    </w:tbl>
    <w:p>
      <w:pPr>
        <w:pStyle w:val="Heading1"/>
        <w:spacing w:before="160" w:after="60"/>
      </w:pPr>
      <w:r>
        <w:t>Discussion Questions</w:t>
      </w:r>
    </w:p>
    <w:p>
      <w:pPr>
        <w:pStyle w:val="ListBullet"/>
        <w:spacing w:after="40"/>
      </w:pPr>
      <w:r>
        <w:rPr>
          <w:rFonts w:ascii="Aptos" w:hAnsi="Aptos"/>
          <w:sz w:val="19"/>
        </w:rPr>
        <w:t>What does the hymn teach us about the difference between temporary residence and final belonging?</w:t>
      </w:r>
    </w:p>
    <w:p>
      <w:pPr>
        <w:pStyle w:val="ListBullet"/>
        <w:spacing w:after="40"/>
      </w:pPr>
      <w:r>
        <w:rPr>
          <w:rFonts w:ascii="Aptos" w:hAnsi="Aptos"/>
          <w:sz w:val="19"/>
        </w:rPr>
        <w:t>How does Hebrews 11 help us understand faith as seeing promises from afar?</w:t>
      </w:r>
    </w:p>
    <w:p>
      <w:pPr>
        <w:pStyle w:val="ListBullet"/>
        <w:spacing w:after="40"/>
      </w:pPr>
      <w:r>
        <w:rPr>
          <w:rFonts w:ascii="Aptos" w:hAnsi="Aptos"/>
          <w:sz w:val="19"/>
        </w:rPr>
        <w:t>Why is heavenly hope not the same thing as avoiding earthly responsibility?</w:t>
      </w:r>
    </w:p>
    <w:p>
      <w:pPr>
        <w:pStyle w:val="ListBullet"/>
        <w:spacing w:after="40"/>
      </w:pPr>
      <w:r>
        <w:rPr>
          <w:rFonts w:ascii="Aptos" w:hAnsi="Aptos"/>
          <w:sz w:val="19"/>
        </w:rPr>
        <w:t>What words would you use to comfort a grieving believer with the truth of this hymn?</w:t>
      </w:r>
    </w:p>
    <w:p>
      <w:pPr>
        <w:pStyle w:val="ListBullet"/>
        <w:spacing w:after="40"/>
      </w:pPr>
      <w:r>
        <w:rPr>
          <w:rFonts w:ascii="Aptos" w:hAnsi="Aptos"/>
          <w:sz w:val="19"/>
        </w:rPr>
        <w:t>How can a congregation sing about heaven without becoming sentimental?</w:t>
      </w:r>
    </w:p>
    <w:p>
      <w:pPr>
        <w:pStyle w:val="ListBullet"/>
        <w:spacing w:after="40"/>
      </w:pPr>
      <w:r>
        <w:rPr>
          <w:rFonts w:ascii="Aptos" w:hAnsi="Aptos"/>
          <w:sz w:val="19"/>
        </w:rPr>
        <w:t>What habits help you remember that your citizenship is in heaven?</w:t>
      </w:r>
    </w:p>
    <w:p>
      <w:pPr>
        <w:pStyle w:val="ListBullet"/>
        <w:spacing w:after="40"/>
      </w:pPr>
      <w:r>
        <w:rPr>
          <w:rFonts w:ascii="Aptos" w:hAnsi="Aptos"/>
          <w:sz w:val="19"/>
        </w:rPr>
        <w:t>How might this hymn be used in a funeral, hospital visit, or service of comfort?</w:t>
      </w:r>
    </w:p>
    <w:p>
      <w:pPr>
        <w:pStyle w:val="Heading1"/>
        <w:spacing w:before="160" w:after="60"/>
      </w:pPr>
      <w:r>
        <w:t>Practice This Week</w:t>
      </w:r>
    </w:p>
    <w:p>
      <w:pPr>
        <w:pStyle w:val="ListBullet"/>
        <w:spacing w:after="40"/>
      </w:pPr>
      <w:r>
        <w:rPr>
          <w:rFonts w:ascii="Aptos" w:hAnsi="Aptos"/>
          <w:sz w:val="19"/>
        </w:rPr>
        <w:t>Read Hebrews 11:13 and Philippians 3:20 slowly each morning.</w:t>
      </w:r>
    </w:p>
    <w:p>
      <w:pPr>
        <w:pStyle w:val="ListBullet"/>
        <w:spacing w:after="40"/>
      </w:pPr>
      <w:r>
        <w:rPr>
          <w:rFonts w:ascii="Aptos" w:hAnsi="Aptos"/>
          <w:sz w:val="19"/>
        </w:rPr>
        <w:t>Write down one fear that feels too final and pray over it in light of the promised home.</w:t>
      </w:r>
    </w:p>
    <w:p>
      <w:pPr>
        <w:pStyle w:val="ListBullet"/>
        <w:spacing w:after="40"/>
      </w:pPr>
      <w:r>
        <w:rPr>
          <w:rFonts w:ascii="Aptos" w:hAnsi="Aptos"/>
          <w:sz w:val="19"/>
        </w:rPr>
        <w:t>Encourage someone who is grieving, ill, or weary with a short note of Christian hope.</w:t>
      </w:r>
    </w:p>
    <w:p>
      <w:pPr>
        <w:pStyle w:val="ListBullet"/>
        <w:spacing w:after="40"/>
      </w:pPr>
      <w:r>
        <w:rPr>
          <w:rFonts w:ascii="Aptos" w:hAnsi="Aptos"/>
          <w:sz w:val="19"/>
        </w:rPr>
        <w:t>Choose one act of faithful service that says: “My security is in Christ.”</w:t>
      </w:r>
    </w:p>
    <w:p>
      <w:pPr>
        <w:pStyle w:val="Heading1"/>
        <w:spacing w:before="160" w:after="60"/>
      </w:pPr>
      <w:r>
        <w:t>Leader Notes</w:t>
      </w:r>
    </w:p>
    <w:p>
      <w:pPr>
        <w:spacing w:after="80" w:line="252" w:lineRule="auto"/>
      </w:pPr>
      <w:r>
        <w:rPr>
          <w:rFonts w:ascii="Aptos" w:hAnsi="Aptos"/>
          <w:b w:val="0"/>
          <w:i w:val="0"/>
          <w:sz w:val="19"/>
        </w:rPr>
        <w:t>Keep the conversation anchored in Scripture. The goal is not to make suffering seem small, but to show that Christ and his promise are greater. Help the group distinguish biblical longing for home from withdrawal, fear, or escapism.</w:t>
      </w:r>
    </w:p>
    <w:p>
      <w:pPr>
        <w:pStyle w:val="Heading1"/>
        <w:spacing w:before="160" w:after="60"/>
      </w:pPr>
      <w:r>
        <w:t>Closing Prayer</w:t>
      </w:r>
    </w:p>
    <w:p>
      <w:pPr>
        <w:spacing w:after="80" w:line="252" w:lineRule="auto"/>
      </w:pPr>
      <w:r>
        <w:rPr>
          <w:rFonts w:ascii="Aptos" w:hAnsi="Aptos"/>
          <w:b w:val="0"/>
          <w:i/>
          <w:sz w:val="19"/>
        </w:rPr>
        <w:t>Lord Jesus, keep us faithful as pilgrims. Comfort the weary, strengthen the grieving, and teach us to live as citizens of heaven while we serve you here. Bring us at last to the rest you have promised. Amen.</w:t>
      </w:r>
    </w:p>
    <w:p>
      <w:pPr>
        <w:spacing w:after="80" w:line="252" w:lineRule="auto"/>
      </w:pPr>
      <w:r>
        <w:rPr>
          <w:rFonts w:ascii="Aptos" w:hAnsi="Aptos"/>
          <w:b w:val="0"/>
          <w:i w:val="0"/>
          <w:sz w:val="16"/>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835" w:right="936" w:bottom="835"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46464"/>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A2B3E"/>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b/>
      <w:bCs/>
      <w:color w:val="4D6D7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color w:val="1A2B3E"/>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 But a Stranger Here Small Group Handout</dc:title>
  <dc:subject>Hymn study resource</dc:subject>
  <dc:creator>HymnInfo.com</dc:creator>
  <cp:keywords>hymn study, Christian worship, church teaching, HymnInfo</cp:keywords>
  <dc:description/>
  <cp:lastModifiedBy/>
  <cp:revision>1</cp:revision>
  <dcterms:created xsi:type="dcterms:W3CDTF">2013-12-23T23:15:00Z</dcterms:created>
  <dcterms:modified xsi:type="dcterms:W3CDTF">2013-12-23T23:15:00Z</dcterms:modified>
  <cp:category/>
</cp:coreProperties>
</file>