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93A12"/>
          <w:sz w:val="40"/>
        </w:rPr>
        <w:t>Isaiah, Mighty Seer, in Days of Old</w:t>
      </w:r>
    </w:p>
    <w:p>
      <w:pPr>
        <w:jc w:val="center"/>
      </w:pPr>
      <w:r>
        <w:rPr>
          <w:i/>
          <w:color w:val="78562A"/>
          <w:sz w:val="20"/>
        </w:rPr>
        <w:t>Sermon Outline</w:t>
      </w:r>
    </w:p>
    <w:p>
      <w:pPr>
        <w:jc w:val="center"/>
      </w:pPr>
      <w:r>
        <w:rPr>
          <w:color w:val="5A5A5A"/>
          <w:sz w:val="17"/>
        </w:rPr>
        <w:t>Martin Luther • Martin Luther • Isaiah 6:3</w:t>
      </w:r>
    </w:p>
    <w:p>
      <w:pPr>
        <w:pStyle w:val="Heading2"/>
      </w:pPr>
      <w:r>
        <w:t>Sermon Title</w:t>
      </w:r>
    </w:p>
    <w:p>
      <w:r>
        <w:t>The Whole Earth Is Full of His Glory</w:t>
      </w:r>
    </w:p>
    <w:p>
      <w:pPr>
        <w:pStyle w:val="Heading2"/>
      </w:pPr>
      <w:r>
        <w:t>Main Text and Supporting Scriptures</w:t>
      </w:r>
    </w:p>
    <w:p>
      <w:r>
        <w:t>Main text: Isaiah 6:1-4, especially Isaiah 6:3. Supporting texts: Revelation 4:8; Matthew 21:9; John 12:41; Hebrews 12:28-29.</w:t>
      </w:r>
    </w:p>
    <w:p>
      <w:pPr>
        <w:pStyle w:val="Heading2"/>
      </w:pPr>
      <w:r>
        <w:t>Big Idea</w:t>
      </w:r>
    </w:p>
    <w:p>
      <w:r>
        <w:t>The holy God draws His people into the worship of heaven so that reverence, repentance, and Christ-centered confidence may shape the church’s song.</w:t>
      </w:r>
    </w:p>
    <w:p>
      <w:pPr>
        <w:pStyle w:val="Heading2"/>
      </w:pPr>
      <w:r>
        <w:t>Introduction</w:t>
      </w:r>
    </w:p>
    <w:p>
      <w:r>
        <w:t>Many people think worship begins when the first hymn starts or when the congregation gathers. Isaiah’s vision corrects that small view. Worship is already taking place before the throne of God. Luther’s German Sanctus gives the church a way to sing that biblical reality: the holy Lord is enthroned, the heavenly host adore Him, and the congregation is invited to join the praise.</w:t>
      </w:r>
    </w:p>
    <w:p>
      <w:pPr>
        <w:pStyle w:val="Heading2"/>
      </w:pPr>
      <w:r>
        <w:t>1. Worship begins with the Lord enthroned</w:t>
      </w:r>
    </w:p>
    <w:p>
      <w:r>
        <w:rPr>
          <w:b/>
        </w:rPr>
        <w:t xml:space="preserve">Explanation: </w:t>
      </w:r>
      <w:r>
        <w:t>Isaiah does not see a religious idea; he sees the Lord high and lifted up. The hymn starts where Scripture starts: with the majesty of God.</w:t>
      </w:r>
    </w:p>
    <w:p>
      <w:r>
        <w:rPr>
          <w:b/>
        </w:rPr>
        <w:t xml:space="preserve">Hymn connection: </w:t>
      </w:r>
      <w:r>
        <w:t>Luther’s hymn retells Isaiah’s vision so the congregation can sing the holiness of God rather than merely hear about it.</w:t>
      </w:r>
    </w:p>
    <w:p>
      <w:r>
        <w:rPr>
          <w:b/>
        </w:rPr>
        <w:t xml:space="preserve">Biblical support: </w:t>
      </w:r>
      <w:r>
        <w:t>Isaiah 6:1; Revelation 4:2-3</w:t>
      </w:r>
    </w:p>
    <w:p>
      <w:r>
        <w:rPr>
          <w:b/>
        </w:rPr>
        <w:t xml:space="preserve">Illustration idea: </w:t>
      </w:r>
      <w:r>
        <w:t>Describe entering a great cathedral or standing under a vast night sky, then say Isaiah’s vision is greater because the glory belongs to the living Lord.</w:t>
      </w:r>
    </w:p>
    <w:p>
      <w:r>
        <w:rPr>
          <w:b/>
        </w:rPr>
        <w:t xml:space="preserve">Application: </w:t>
      </w:r>
      <w:r>
        <w:t>Lead the congregation away from worship as preference and toward worship as response.</w:t>
      </w:r>
    </w:p>
    <w:p>
      <w:pPr>
        <w:pStyle w:val="Heading2"/>
      </w:pPr>
      <w:r>
        <w:t>2. Holy praise is the language of heaven</w:t>
      </w:r>
    </w:p>
    <w:p>
      <w:r>
        <w:rPr>
          <w:b/>
        </w:rPr>
        <w:t xml:space="preserve">Explanation: </w:t>
      </w:r>
      <w:r>
        <w:t>The seraphim call to one another. Their song is not casual; it is ceaseless, reverent, and centered on the holiness of God.</w:t>
      </w:r>
    </w:p>
    <w:p>
      <w:r>
        <w:rPr>
          <w:b/>
        </w:rPr>
        <w:t xml:space="preserve">Hymn connection: </w:t>
      </w:r>
      <w:r>
        <w:t>Luther’s hymn retells Isaiah’s vision so the congregation can sing the holiness of God rather than merely hear about it.</w:t>
      </w:r>
    </w:p>
    <w:p>
      <w:r>
        <w:rPr>
          <w:b/>
        </w:rPr>
        <w:t xml:space="preserve">Biblical support: </w:t>
      </w:r>
      <w:r>
        <w:t>Isaiah 6:2-3; Revelation 4:8</w:t>
      </w:r>
    </w:p>
    <w:p>
      <w:r>
        <w:rPr>
          <w:b/>
        </w:rPr>
        <w:t xml:space="preserve">Illustration idea: </w:t>
      </w:r>
      <w:r>
        <w:t>Imagine a choir that never loses its subject: God Himself. The church joins that choir each time it sings with faith.</w:t>
      </w:r>
    </w:p>
    <w:p>
      <w:r>
        <w:rPr>
          <w:b/>
        </w:rPr>
        <w:t xml:space="preserve">Application: </w:t>
      </w:r>
      <w:r>
        <w:t>Ask whether our words, posture, and attention treat God as holy.</w:t>
      </w:r>
    </w:p>
    <w:p>
      <w:pPr>
        <w:pStyle w:val="Heading2"/>
      </w:pPr>
      <w:r>
        <w:t>3. God’s glory fills the earth</w:t>
      </w:r>
    </w:p>
    <w:p>
      <w:r>
        <w:rPr>
          <w:b/>
        </w:rPr>
        <w:t xml:space="preserve">Explanation: </w:t>
      </w:r>
      <w:r>
        <w:t>The hymn does not confine glory to the temple. The whole earth is filled with divine glory, and worship helps us see what unbelief overlooks.</w:t>
      </w:r>
    </w:p>
    <w:p>
      <w:r>
        <w:rPr>
          <w:b/>
        </w:rPr>
        <w:t xml:space="preserve">Hymn connection: </w:t>
      </w:r>
      <w:r>
        <w:t>Luther’s hymn retells Isaiah’s vision so the congregation can sing the holiness of God rather than merely hear about it.</w:t>
      </w:r>
    </w:p>
    <w:p>
      <w:r>
        <w:rPr>
          <w:b/>
        </w:rPr>
        <w:t xml:space="preserve">Biblical support: </w:t>
      </w:r>
      <w:r>
        <w:t>Isaiah 6:3; Psalm 24:1</w:t>
      </w:r>
    </w:p>
    <w:p>
      <w:r>
        <w:rPr>
          <w:b/>
        </w:rPr>
        <w:t xml:space="preserve">Illustration idea: </w:t>
      </w:r>
      <w:r>
        <w:t>Point to ordinary places where God’s glory is often ignored: work, family, creation, the gathered church.</w:t>
      </w:r>
    </w:p>
    <w:p>
      <w:r>
        <w:rPr>
          <w:b/>
        </w:rPr>
        <w:t xml:space="preserve">Application: </w:t>
      </w:r>
      <w:r>
        <w:t>Teach believers to leave worship with eyes trained to see the world under God’s lordship.</w:t>
      </w:r>
    </w:p>
    <w:p>
      <w:pPr>
        <w:pStyle w:val="Heading2"/>
      </w:pPr>
      <w:r>
        <w:t>4. The holy Lord comes to His people in mercy</w:t>
      </w:r>
    </w:p>
    <w:p>
      <w:r>
        <w:rPr>
          <w:b/>
        </w:rPr>
        <w:t xml:space="preserve">Explanation: </w:t>
      </w:r>
      <w:r>
        <w:t>The Sanctus tradition is not only about distance and fear. In Christian worship it leads toward the Lord who comes, the Hosanna of welcome, and the meal of mercy.</w:t>
      </w:r>
    </w:p>
    <w:p>
      <w:r>
        <w:rPr>
          <w:b/>
        </w:rPr>
        <w:t xml:space="preserve">Hymn connection: </w:t>
      </w:r>
      <w:r>
        <w:t>Luther’s hymn retells Isaiah’s vision so the congregation can sing the holiness of God rather than merely hear about it.</w:t>
      </w:r>
    </w:p>
    <w:p>
      <w:r>
        <w:rPr>
          <w:b/>
        </w:rPr>
        <w:t xml:space="preserve">Biblical support: </w:t>
      </w:r>
      <w:r>
        <w:t>Matthew 21:9; Hebrews 12:28-29</w:t>
      </w:r>
    </w:p>
    <w:p>
      <w:r>
        <w:rPr>
          <w:b/>
        </w:rPr>
        <w:t xml:space="preserve">Illustration idea: </w:t>
      </w:r>
      <w:r>
        <w:t>A throne room and a table seem far apart, yet in Christ the holy God gives Himself to His people.</w:t>
      </w:r>
    </w:p>
    <w:p>
      <w:r>
        <w:rPr>
          <w:b/>
        </w:rPr>
        <w:t xml:space="preserve">Application: </w:t>
      </w:r>
      <w:r>
        <w:t>Prepare hearers to approach Communion with awe and Gospel confidence.</w:t>
      </w:r>
    </w:p>
    <w:p>
      <w:pPr>
        <w:pStyle w:val="Heading2"/>
      </w:pPr>
      <w:r>
        <w:t>Christ-Centered Connection</w:t>
      </w:r>
    </w:p>
    <w:p>
      <w:r>
        <w:t>The holy Lord whom Isaiah saw is not opposed to mercy. In Christ, God’s holiness and saving grace meet. The church sings “Holy” and “Hosanna” because the One who fills heaven and earth with glory also comes to save sinners. The table of the Lord is therefore not casual familiarity; it is holy mercy given to humbled people through Christ.</w:t>
      </w:r>
    </w:p>
    <w:p>
      <w:pPr>
        <w:pStyle w:val="Heading2"/>
      </w:pPr>
      <w:r>
        <w:t>Pastoral Applications</w:t>
      </w:r>
    </w:p>
    <w:p>
      <w:pPr>
        <w:pStyle w:val="ListBullet"/>
      </w:pPr>
      <w:r>
        <w:rPr>
          <w:b/>
        </w:rPr>
        <w:t xml:space="preserve">For the anxious: </w:t>
      </w:r>
      <w:r>
        <w:t>The throne is not empty. God’s holiness means He is not overwhelmed by what overwhelms you.</w:t>
      </w:r>
    </w:p>
    <w:p>
      <w:pPr>
        <w:pStyle w:val="ListBullet"/>
      </w:pPr>
      <w:r>
        <w:rPr>
          <w:b/>
        </w:rPr>
        <w:t xml:space="preserve">For the repentant: </w:t>
      </w:r>
      <w:r>
        <w:t>Awe before God is not meant to drive you from Christ but to send you to His mercy.</w:t>
      </w:r>
    </w:p>
    <w:p>
      <w:pPr>
        <w:pStyle w:val="ListBullet"/>
      </w:pPr>
      <w:r>
        <w:rPr>
          <w:b/>
        </w:rPr>
        <w:t xml:space="preserve">For the worshiping: </w:t>
      </w:r>
      <w:r>
        <w:t>Sing as one who is joining a greater song, not performing a private religious exercise.</w:t>
      </w:r>
    </w:p>
    <w:p>
      <w:pPr>
        <w:pStyle w:val="ListBullet"/>
      </w:pPr>
      <w:r>
        <w:rPr>
          <w:b/>
        </w:rPr>
        <w:t xml:space="preserve">For the weary: </w:t>
      </w:r>
      <w:r>
        <w:t>The glory of God is larger than the heaviness of the week you brought into worship.</w:t>
      </w:r>
    </w:p>
    <w:p>
      <w:pPr>
        <w:pStyle w:val="ListBullet"/>
      </w:pPr>
      <w:r>
        <w:rPr>
          <w:b/>
        </w:rPr>
        <w:t xml:space="preserve">For worship leaders: </w:t>
      </w:r>
      <w:r>
        <w:t>Choose and lead music that helps the congregation hear Scripture, see Christ, and approach God with reverence.</w:t>
      </w:r>
    </w:p>
    <w:p>
      <w:pPr>
        <w:pStyle w:val="Heading2"/>
      </w:pPr>
      <w:r>
        <w:t>Conclusion and Call to Response</w:t>
      </w:r>
    </w:p>
    <w:p>
      <w:r>
        <w:t>Isaiah’s vision teaches the church to recover the greatness of worship. We gather before the holy Lord, join the praise of heaven, confess that His glory fills the earth, and welcome the King who comes to save. Respond with reverence, repent where worship has become small, and receive the mercy of Christ with thankful faith.</w:t>
      </w:r>
    </w:p>
    <w:p>
      <w:pPr>
        <w:pStyle w:val="Heading2"/>
      </w:pPr>
      <w:r>
        <w:t>Suggested Closing Prayer</w:t>
      </w:r>
    </w:p>
    <w:p>
      <w:r>
        <w:t>Holy, holy, holy Lord, open our eyes to Your glory and humble our hearts before Your throne. Join our voices to the worship of heaven, cleanse our shallow praise, and teach us to welcome Christ with faith, joy, and reverence. Amen.</w:t>
      </w:r>
    </w:p>
    <w:p>
      <w:pPr>
        <w:jc w:val="center"/>
      </w:pPr>
      <w:r>
        <w:rPr>
          <w:color w:val="696969"/>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93A1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93A12"/>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593A1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Isaiah, Mighty Seer, in Days of Old</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