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593A12"/>
          <w:sz w:val="40"/>
        </w:rPr>
        <w:t>Isaiah, Mighty Seer, in Days of Old</w:t>
      </w:r>
    </w:p>
    <w:p>
      <w:pPr>
        <w:jc w:val="center"/>
      </w:pPr>
      <w:r>
        <w:rPr>
          <w:i/>
          <w:color w:val="78562A"/>
          <w:sz w:val="20"/>
        </w:rPr>
        <w:t>Small Group Handout</w:t>
      </w:r>
    </w:p>
    <w:p>
      <w:pPr>
        <w:jc w:val="center"/>
      </w:pPr>
      <w:r>
        <w:rPr>
          <w:color w:val="5A5A5A"/>
          <w:sz w:val="17"/>
        </w:rPr>
        <w:t>Martin Luther • Martin Luther • Isaiah 6:3</w:t>
      </w:r>
    </w:p>
    <w:p>
      <w:r>
        <w:rPr>
          <w:b/>
        </w:rPr>
        <w:t xml:space="preserve">Purpose: </w:t>
      </w:r>
      <w:r>
        <w:t>To help a group hear Isaiah 6 behind the church’s song of holiness and to respond with reverent, confident worship.</w:t>
      </w:r>
    </w:p>
    <w:p>
      <w:pPr>
        <w:pStyle w:val="Heading2"/>
      </w:pPr>
      <w:r>
        <w:t>Opening Reflection</w:t>
      </w:r>
    </w:p>
    <w:p>
      <w:pPr>
        <w:pStyle w:val="ListBullet"/>
      </w:pPr>
      <w:r>
        <w:t>When have you sensed that worship is larger than the people gathered in the room?</w:t>
      </w:r>
    </w:p>
    <w:p>
      <w:pPr>
        <w:pStyle w:val="ListBullet"/>
      </w:pPr>
      <w:r>
        <w:t>What helps a congregation recover reverence without losing warmth and welcome?</w:t>
      </w:r>
    </w:p>
    <w:p>
      <w:pPr>
        <w:pStyle w:val="ListBullet"/>
      </w:pPr>
      <w:r>
        <w:t>How does God’s holiness comfort rather than only frighten believers in Christ?</w:t>
      </w:r>
    </w:p>
    <w:p>
      <w:pPr>
        <w:pStyle w:val="Heading2"/>
      </w:pPr>
      <w:r>
        <w:t>Brief Hymn Background</w:t>
      </w:r>
    </w:p>
    <w:p>
      <w:r>
        <w:t>Isaiah, Mighty Seer, in Days of Old is the English form of Martin Luther’s German Sanctus, written in 1526 for the Deutsche Messe. Instead of simply translating the historic Sanctus, Luther retold Isaiah’s temple vision so the congregation could sing the biblical scene behind “Holy, holy, holy.” The tune JESAIA, DEM PROPHETEN belongs with the same early Lutheran worship setting. English versions have appeared in Lutheran hymnals, and wording may vary by hymnal.</w:t>
      </w:r>
    </w:p>
    <w:p>
      <w:pPr>
        <w:pStyle w:val="Heading2"/>
      </w:pPr>
      <w:r>
        <w:t>Hymn Snapshot</w:t>
      </w:r>
    </w:p>
    <w:tbl>
      <w:tblPr>
        <w:tblStyle w:val="TableGrid"/>
        <w:tblW w:type="auto" w:w="0"/>
        <w:jc w:val="center"/>
        <w:tblLook w:firstColumn="1" w:firstRow="1" w:lastColumn="0" w:lastRow="0" w:noHBand="0" w:noVBand="1" w:val="04A0"/>
      </w:tblPr>
      <w:tblGrid>
        <w:gridCol w:w="5184"/>
        <w:gridCol w:w="5184"/>
      </w:tblGrid>
      <w:tr>
        <w:tc>
          <w:tcPr>
            <w:tcW w:type="dxa" w:w="5184"/>
            <w:shd w:fill="F2E7D1"/>
          </w:tcPr>
          <w:p>
            <w:r/>
            <w:r>
              <w:rPr>
                <w:b/>
                <w:color w:val="4F361A"/>
                <w:sz w:val="17"/>
              </w:rPr>
              <w:t>First line</w:t>
            </w:r>
          </w:p>
        </w:tc>
        <w:tc>
          <w:tcPr>
            <w:tcW w:type="dxa" w:w="5184"/>
          </w:tcPr>
          <w:p>
            <w:r/>
            <w:r>
              <w:rPr>
                <w:b w:val="0"/>
                <w:color w:val="222222"/>
                <w:sz w:val="17"/>
              </w:rPr>
              <w:t>Isaiah, mighty seer, in days of old</w:t>
            </w:r>
          </w:p>
        </w:tc>
      </w:tr>
      <w:tr>
        <w:tc>
          <w:tcPr>
            <w:tcW w:type="dxa" w:w="5184"/>
            <w:shd w:fill="F2E7D1"/>
          </w:tcPr>
          <w:p>
            <w:r/>
            <w:r>
              <w:rPr>
                <w:b/>
                <w:color w:val="4F361A"/>
                <w:sz w:val="17"/>
              </w:rPr>
              <w:t>Original title</w:t>
            </w:r>
          </w:p>
        </w:tc>
        <w:tc>
          <w:tcPr>
            <w:tcW w:type="dxa" w:w="5184"/>
          </w:tcPr>
          <w:p>
            <w:r/>
            <w:r>
              <w:rPr>
                <w:b w:val="0"/>
                <w:color w:val="222222"/>
                <w:sz w:val="17"/>
              </w:rPr>
              <w:t>Jesaia, dem Propheten, das geschah</w:t>
            </w:r>
          </w:p>
        </w:tc>
      </w:tr>
      <w:tr>
        <w:tc>
          <w:tcPr>
            <w:tcW w:type="dxa" w:w="5184"/>
            <w:shd w:fill="F2E7D1"/>
          </w:tcPr>
          <w:p>
            <w:r/>
            <w:r>
              <w:rPr>
                <w:b/>
                <w:color w:val="4F361A"/>
                <w:sz w:val="17"/>
              </w:rPr>
              <w:t>Writer and tune</w:t>
            </w:r>
          </w:p>
        </w:tc>
        <w:tc>
          <w:tcPr>
            <w:tcW w:type="dxa" w:w="5184"/>
          </w:tcPr>
          <w:p>
            <w:r/>
            <w:r>
              <w:rPr>
                <w:b w:val="0"/>
                <w:color w:val="222222"/>
                <w:sz w:val="17"/>
              </w:rPr>
              <w:t>Martin Luther, 1526</w:t>
            </w:r>
          </w:p>
        </w:tc>
      </w:tr>
      <w:tr>
        <w:tc>
          <w:tcPr>
            <w:tcW w:type="dxa" w:w="5184"/>
            <w:shd w:fill="F2E7D1"/>
          </w:tcPr>
          <w:p>
            <w:r/>
            <w:r>
              <w:rPr>
                <w:b/>
                <w:color w:val="4F361A"/>
                <w:sz w:val="17"/>
              </w:rPr>
              <w:t>Tune</w:t>
            </w:r>
          </w:p>
        </w:tc>
        <w:tc>
          <w:tcPr>
            <w:tcW w:type="dxa" w:w="5184"/>
          </w:tcPr>
          <w:p>
            <w:r/>
            <w:r>
              <w:rPr>
                <w:b w:val="0"/>
                <w:color w:val="222222"/>
                <w:sz w:val="17"/>
              </w:rPr>
              <w:t>JESAIA, DEM PROPHETEN</w:t>
            </w:r>
          </w:p>
        </w:tc>
      </w:tr>
      <w:tr>
        <w:tc>
          <w:tcPr>
            <w:tcW w:type="dxa" w:w="5184"/>
            <w:shd w:fill="F2E7D1"/>
          </w:tcPr>
          <w:p>
            <w:r/>
            <w:r>
              <w:rPr>
                <w:b/>
                <w:color w:val="4F361A"/>
                <w:sz w:val="17"/>
              </w:rPr>
              <w:t>Meter</w:t>
            </w:r>
          </w:p>
        </w:tc>
        <w:tc>
          <w:tcPr>
            <w:tcW w:type="dxa" w:w="5184"/>
          </w:tcPr>
          <w:p>
            <w:r/>
            <w:r>
              <w:rPr>
                <w:b w:val="0"/>
                <w:color w:val="222222"/>
                <w:sz w:val="17"/>
              </w:rPr>
              <w:t>10s. 16 lines</w:t>
            </w:r>
          </w:p>
        </w:tc>
      </w:tr>
      <w:tr>
        <w:tc>
          <w:tcPr>
            <w:tcW w:type="dxa" w:w="5184"/>
            <w:shd w:fill="F2E7D1"/>
          </w:tcPr>
          <w:p>
            <w:r/>
            <w:r>
              <w:rPr>
                <w:b/>
                <w:color w:val="4F361A"/>
                <w:sz w:val="17"/>
              </w:rPr>
              <w:t>Main Scripture</w:t>
            </w:r>
          </w:p>
        </w:tc>
        <w:tc>
          <w:tcPr>
            <w:tcW w:type="dxa" w:w="5184"/>
          </w:tcPr>
          <w:p>
            <w:r/>
            <w:r>
              <w:rPr>
                <w:b w:val="0"/>
                <w:color w:val="222222"/>
                <w:sz w:val="17"/>
              </w:rPr>
              <w:t>Isaiah 6:3</w:t>
            </w:r>
          </w:p>
        </w:tc>
      </w:tr>
    </w:tbl>
    <w:p>
      <w:pPr>
        <w:pStyle w:val="Heading2"/>
      </w:pPr>
      <w:r>
        <w:t>Scripture Foundation</w:t>
      </w:r>
    </w:p>
    <w:p>
      <w:r>
        <w:t>Read Isaiah 6:1-4. Then compare Revelation 4:8 and Matthew 21:9. The hymn brings together the throne-room cry of holiness, heavenly worship, and the church’s welcome of the Lord who comes in mercy.</w:t>
      </w:r>
    </w:p>
    <w:p>
      <w:pPr>
        <w:pStyle w:val="Heading2"/>
      </w:pPr>
      <w:r>
        <w:t>Hymn Movement</w:t>
      </w:r>
    </w:p>
    <w:p>
      <w:r>
        <w:rPr>
          <w:b/>
        </w:rPr>
        <w:t xml:space="preserve">The Lord enthroned: </w:t>
      </w:r>
      <w:r>
        <w:t>Isaiah sees the Lord high and lifted up. Worship begins with God’s majesty, not with human preference.</w:t>
      </w:r>
    </w:p>
    <w:p>
      <w:r>
        <w:rPr>
          <w:b/>
        </w:rPr>
        <w:t xml:space="preserve">The seraphim in awe: </w:t>
      </w:r>
      <w:r>
        <w:t>Even heavenly beings cover themselves before the holy Lord. Reverence is fitting because God is not ordinary.</w:t>
      </w:r>
    </w:p>
    <w:p>
      <w:r>
        <w:rPr>
          <w:b/>
        </w:rPr>
        <w:t xml:space="preserve">The threefold cry: </w:t>
      </w:r>
      <w:r>
        <w:t>The center of the hymn is the holy praise that fills heaven and earth with the glory of God.</w:t>
      </w:r>
    </w:p>
    <w:p>
      <w:r>
        <w:rPr>
          <w:b/>
        </w:rPr>
        <w:t xml:space="preserve">The shaking house: </w:t>
      </w:r>
      <w:r>
        <w:t>The trembling thresholds and smoke-filled sanctuary teach that God’s presence is powerful and holy.</w:t>
      </w:r>
    </w:p>
    <w:p>
      <w:r>
        <w:rPr>
          <w:b/>
        </w:rPr>
        <w:t xml:space="preserve">The church joins the song: </w:t>
      </w:r>
      <w:r>
        <w:t>In worship and Communion, believers join the praise already offered before God’s throne.</w:t>
      </w:r>
    </w:p>
    <w:p>
      <w:pPr>
        <w:pStyle w:val="Heading2"/>
      </w:pPr>
      <w:r>
        <w:t>Study Table</w:t>
      </w:r>
    </w:p>
    <w:tbl>
      <w:tblPr>
        <w:tblStyle w:val="TableGrid"/>
        <w:tblW w:type="auto" w:w="0"/>
        <w:jc w:val="center"/>
        <w:tblLook w:firstColumn="1" w:firstRow="1" w:lastColumn="0" w:lastRow="0" w:noHBand="0" w:noVBand="1" w:val="04A0"/>
      </w:tblPr>
      <w:tblGrid>
        <w:gridCol w:w="3456"/>
        <w:gridCol w:w="3456"/>
        <w:gridCol w:w="3456"/>
      </w:tblGrid>
      <w:tr>
        <w:tc>
          <w:tcPr>
            <w:tcW w:type="dxa" w:w="3456"/>
            <w:shd w:fill="5A3A15"/>
          </w:tcPr>
          <w:p>
            <w:r/>
            <w:r>
              <w:rPr>
                <w:b/>
                <w:color w:val="FFFFFF"/>
                <w:sz w:val="16"/>
              </w:rPr>
              <w:t>Hymn Theme</w:t>
            </w:r>
          </w:p>
        </w:tc>
        <w:tc>
          <w:tcPr>
            <w:tcW w:type="dxa" w:w="3456"/>
            <w:shd w:fill="5A3A15"/>
          </w:tcPr>
          <w:p>
            <w:r/>
            <w:r>
              <w:rPr>
                <w:b/>
                <w:color w:val="FFFFFF"/>
                <w:sz w:val="16"/>
              </w:rPr>
              <w:t>Scripture Connection</w:t>
            </w:r>
          </w:p>
        </w:tc>
        <w:tc>
          <w:tcPr>
            <w:tcW w:type="dxa" w:w="3456"/>
            <w:shd w:fill="5A3A15"/>
          </w:tcPr>
          <w:p>
            <w:r/>
            <w:r>
              <w:rPr>
                <w:b/>
                <w:color w:val="FFFFFF"/>
                <w:sz w:val="16"/>
              </w:rPr>
              <w:t>Discussion Prompt</w:t>
            </w:r>
          </w:p>
        </w:tc>
      </w:tr>
      <w:tr>
        <w:tc>
          <w:tcPr>
            <w:tcW w:type="dxa" w:w="3456"/>
          </w:tcPr>
          <w:p>
            <w:r/>
            <w:r>
              <w:rPr>
                <w:b/>
                <w:color w:val="222222"/>
                <w:sz w:val="15"/>
              </w:rPr>
              <w:t>Holiness</w:t>
            </w:r>
          </w:p>
        </w:tc>
        <w:tc>
          <w:tcPr>
            <w:tcW w:type="dxa" w:w="3456"/>
          </w:tcPr>
          <w:p>
            <w:r/>
            <w:r>
              <w:rPr>
                <w:b w:val="0"/>
                <w:color w:val="222222"/>
                <w:sz w:val="15"/>
              </w:rPr>
              <w:t>Isaiah 6:3</w:t>
            </w:r>
          </w:p>
        </w:tc>
        <w:tc>
          <w:tcPr>
            <w:tcW w:type="dxa" w:w="3456"/>
          </w:tcPr>
          <w:p>
            <w:r/>
            <w:r>
              <w:rPr>
                <w:b w:val="0"/>
                <w:color w:val="222222"/>
                <w:sz w:val="15"/>
              </w:rPr>
              <w:t>How does holiness shape the mood of worship?</w:t>
            </w:r>
          </w:p>
        </w:tc>
      </w:tr>
      <w:tr>
        <w:tc>
          <w:tcPr>
            <w:tcW w:type="dxa" w:w="3456"/>
          </w:tcPr>
          <w:p>
            <w:r/>
            <w:r>
              <w:rPr>
                <w:b/>
                <w:color w:val="222222"/>
                <w:sz w:val="15"/>
              </w:rPr>
              <w:t>Heavenly praise</w:t>
            </w:r>
          </w:p>
        </w:tc>
        <w:tc>
          <w:tcPr>
            <w:tcW w:type="dxa" w:w="3456"/>
          </w:tcPr>
          <w:p>
            <w:r/>
            <w:r>
              <w:rPr>
                <w:b w:val="0"/>
                <w:color w:val="222222"/>
                <w:sz w:val="15"/>
              </w:rPr>
              <w:t>Revelation 4:8</w:t>
            </w:r>
          </w:p>
        </w:tc>
        <w:tc>
          <w:tcPr>
            <w:tcW w:type="dxa" w:w="3456"/>
          </w:tcPr>
          <w:p>
            <w:r/>
            <w:r>
              <w:rPr>
                <w:b w:val="0"/>
                <w:color w:val="222222"/>
                <w:sz w:val="15"/>
              </w:rPr>
              <w:t>What does it mean to join a song already being sung in heaven?</w:t>
            </w:r>
          </w:p>
        </w:tc>
      </w:tr>
      <w:tr>
        <w:tc>
          <w:tcPr>
            <w:tcW w:type="dxa" w:w="3456"/>
          </w:tcPr>
          <w:p>
            <w:r/>
            <w:r>
              <w:rPr>
                <w:b/>
                <w:color w:val="222222"/>
                <w:sz w:val="15"/>
              </w:rPr>
              <w:t>Awe and mercy</w:t>
            </w:r>
          </w:p>
        </w:tc>
        <w:tc>
          <w:tcPr>
            <w:tcW w:type="dxa" w:w="3456"/>
          </w:tcPr>
          <w:p>
            <w:r/>
            <w:r>
              <w:rPr>
                <w:b w:val="0"/>
                <w:color w:val="222222"/>
                <w:sz w:val="15"/>
              </w:rPr>
              <w:t>Isaiah 6:4</w:t>
            </w:r>
          </w:p>
        </w:tc>
        <w:tc>
          <w:tcPr>
            <w:tcW w:type="dxa" w:w="3456"/>
          </w:tcPr>
          <w:p>
            <w:r/>
            <w:r>
              <w:rPr>
                <w:b w:val="0"/>
                <w:color w:val="222222"/>
                <w:sz w:val="15"/>
              </w:rPr>
              <w:t>How can awe prepare the heart to receive grace?</w:t>
            </w:r>
          </w:p>
        </w:tc>
      </w:tr>
      <w:tr>
        <w:tc>
          <w:tcPr>
            <w:tcW w:type="dxa" w:w="3456"/>
          </w:tcPr>
          <w:p>
            <w:r/>
            <w:r>
              <w:rPr>
                <w:b/>
                <w:color w:val="222222"/>
                <w:sz w:val="15"/>
              </w:rPr>
              <w:t>Christ’s coming</w:t>
            </w:r>
          </w:p>
        </w:tc>
        <w:tc>
          <w:tcPr>
            <w:tcW w:type="dxa" w:w="3456"/>
          </w:tcPr>
          <w:p>
            <w:r/>
            <w:r>
              <w:rPr>
                <w:b w:val="0"/>
                <w:color w:val="222222"/>
                <w:sz w:val="15"/>
              </w:rPr>
              <w:t>Matthew 21:9</w:t>
            </w:r>
          </w:p>
        </w:tc>
        <w:tc>
          <w:tcPr>
            <w:tcW w:type="dxa" w:w="3456"/>
          </w:tcPr>
          <w:p>
            <w:r/>
            <w:r>
              <w:rPr>
                <w:b w:val="0"/>
                <w:color w:val="222222"/>
                <w:sz w:val="15"/>
              </w:rPr>
              <w:t>Why does the church sing both holiness and Hosanna?</w:t>
            </w:r>
          </w:p>
        </w:tc>
      </w:tr>
    </w:tbl>
    <w:p>
      <w:pPr>
        <w:pStyle w:val="Heading2"/>
      </w:pPr>
      <w:r>
        <w:t>Discussion Questions</w:t>
      </w:r>
    </w:p>
    <w:p>
      <w:pPr>
        <w:pStyle w:val="ListNumber"/>
      </w:pPr>
      <w:r>
        <w:t>What does Isaiah’s vision teach us about the God we worship?</w:t>
      </w:r>
    </w:p>
    <w:p>
      <w:pPr>
        <w:pStyle w:val="ListNumber"/>
      </w:pPr>
      <w:r>
        <w:t>Why might Luther have chosen to retell Isaiah 6 rather than use only a short Sanctus text?</w:t>
      </w:r>
    </w:p>
    <w:p>
      <w:pPr>
        <w:pStyle w:val="ListNumber"/>
      </w:pPr>
      <w:r>
        <w:t>How does the hymn connect earthly worship with heavenly worship?</w:t>
      </w:r>
    </w:p>
    <w:p>
      <w:pPr>
        <w:pStyle w:val="ListNumber"/>
      </w:pPr>
      <w:r>
        <w:t>What does reverence look like in a joyful congregation?</w:t>
      </w:r>
    </w:p>
    <w:p>
      <w:pPr>
        <w:pStyle w:val="ListNumber"/>
      </w:pPr>
      <w:r>
        <w:t>How should the holiness of God shape the way we approach Communion?</w:t>
      </w:r>
    </w:p>
    <w:p>
      <w:pPr>
        <w:pStyle w:val="ListNumber"/>
      </w:pPr>
      <w:r>
        <w:t>Where does your worship need more awe, more confidence, or more attention to Scripture?</w:t>
      </w:r>
    </w:p>
    <w:p>
      <w:pPr>
        <w:pStyle w:val="ListNumber"/>
      </w:pPr>
      <w:r>
        <w:t>How can church music teach doctrine without becoming a lecture?</w:t>
      </w:r>
    </w:p>
    <w:p>
      <w:pPr>
        <w:pStyle w:val="Heading2"/>
      </w:pPr>
      <w:r>
        <w:t>Practice This Week</w:t>
      </w:r>
    </w:p>
    <w:p>
      <w:pPr>
        <w:pStyle w:val="ListBullet"/>
      </w:pPr>
      <w:r>
        <w:t>Read Isaiah 6:1-4 slowly before private prayer.</w:t>
      </w:r>
    </w:p>
    <w:p>
      <w:pPr>
        <w:pStyle w:val="ListBullet"/>
      </w:pPr>
      <w:r>
        <w:t>During worship, listen for words or images that join earthly and heavenly praise.</w:t>
      </w:r>
    </w:p>
    <w:p>
      <w:pPr>
        <w:pStyle w:val="ListBullet"/>
      </w:pPr>
      <w:r>
        <w:t>Before receiving Communion, pray for reverence, repentance, and confidence in Christ’s mercy.</w:t>
      </w:r>
    </w:p>
    <w:p>
      <w:pPr>
        <w:pStyle w:val="ListBullet"/>
      </w:pPr>
      <w:r>
        <w:t>Encourage one worship leader or musician whose service helps the congregation sing with faith.</w:t>
      </w:r>
    </w:p>
    <w:p>
      <w:pPr>
        <w:pStyle w:val="Heading2"/>
      </w:pPr>
      <w:r>
        <w:t>Optional Leader Notes</w:t>
      </w:r>
    </w:p>
    <w:p>
      <w:r>
        <w:t>Keep the conversation anchored in Isaiah 6. The goal is not to debate worship style but to recover biblical reverence. When discussing Communion, speak with respect for the practice of your own congregation while showing how the hymn forms the heart for worship.</w:t>
      </w:r>
    </w:p>
    <w:p>
      <w:pPr>
        <w:pStyle w:val="Heading2"/>
      </w:pPr>
      <w:r>
        <w:t>Closing Prayer</w:t>
      </w:r>
    </w:p>
    <w:p>
      <w:r>
        <w:t>Holy Lord, gather our praise into the worship of heaven. Teach us to approach You with reverence, to receive Your mercy with faith, and to sing with hearts made humble and glad through Jesus Christ our Lord. Amen.</w:t>
      </w:r>
    </w:p>
    <w:p>
      <w:pPr>
        <w:jc w:val="center"/>
      </w:pPr>
      <w:r>
        <w:rPr>
          <w:color w:val="696969"/>
          <w:sz w:val="15"/>
        </w:rPr>
        <w:t>© HymnInfo.com. Free for personal, church, classroom, and small-group teaching use. Please do not sell, repost, or redistribute as downloadable files without permission.</w:t>
      </w:r>
    </w:p>
    <w:sectPr w:rsidR="00FC693F" w:rsidRPr="0006063C" w:rsidSect="00034616">
      <w:footerReference w:type="default" r:id="rId9"/>
      <w:pgSz w:w="12240" w:h="15840"/>
      <w:pgMar w:top="792" w:right="936" w:bottom="792" w:left="93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5A5A5A"/>
        <w:sz w:val="16"/>
      </w:rPr>
      <w:t>Prepared for teaching and small group use - hymninfo.com</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Display" w:hAnsi="Aptos Display"/>
      <w:b/>
      <w:bCs/>
      <w:color w:val="593A12"/>
      <w:sz w:val="36"/>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Display" w:hAnsi="Aptos Display"/>
      <w:b/>
      <w:bCs/>
      <w:color w:val="593A12"/>
      <w:sz w:val="25"/>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ptos Display" w:hAnsi="Aptos Display"/>
      <w:b/>
      <w:bCs/>
      <w:color w:val="593A12"/>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Isaiah, Mighty Seer, in Days of Old</dc:title>
  <dc:subject>Hymn study resource</dc:subject>
  <dc:creator>HymnInfo.com</dc:creator>
  <cp:keywords>hymn study, Christian worship, church teaching, HymnInfo</cp:keywords>
  <dc:description>generated by python-docx</dc:description>
  <cp:lastModifiedBy/>
  <cp:revision>1</cp:revision>
  <dcterms:created xsi:type="dcterms:W3CDTF">2013-12-23T23:15:00Z</dcterms:created>
  <dcterms:modified xsi:type="dcterms:W3CDTF">2013-12-23T23:15:00Z</dcterms:modified>
  <cp:category/>
</cp:coreProperties>
</file>