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Let Children Hear the Mighty Deeds: Small Group Handout</w:t>
      </w:r>
    </w:p>
    <w:p>
      <w:pPr>
        <w:jc w:val="center"/>
      </w:pPr>
      <w:r>
        <w:rPr>
          <w:rFonts w:ascii="Aptos" w:hAnsi="Aptos"/>
          <w:color w:val="606060"/>
          <w:sz w:val="19"/>
        </w:rPr>
        <w:t>Psalm 78 and the calling to pass on the mighty deeds of God</w:t>
      </w:r>
    </w:p>
    <w:p>
      <w:pPr>
        <w:spacing w:after="40" w:line="247" w:lineRule="auto"/>
      </w:pPr>
      <w:r>
        <w:rPr>
          <w:rFonts w:ascii="Aptos" w:hAnsi="Aptos"/>
          <w:color w:val="263746"/>
          <w:sz w:val="18"/>
        </w:rPr>
        <w:t>Purpose: This study helps a group hear Watts's Psalm 78 hymn as a call to teach children and younger believers the works, promises, and commands of God.</w:t>
      </w:r>
    </w:p>
    <w:p>
      <w:pPr>
        <w:pStyle w:val="Heading1"/>
        <w:spacing w:after="40"/>
      </w:pPr>
      <w:r>
        <w:rPr>
          <w:b/>
        </w:rPr>
        <w:t>Opening Reflection</w:t>
      </w:r>
    </w:p>
    <w:p>
      <w:pPr>
        <w:pStyle w:val="ListBullet"/>
        <w:spacing w:after="0" w:line="240" w:lineRule="auto"/>
      </w:pPr>
      <w:r>
        <w:rPr>
          <w:rFonts w:ascii="Aptos" w:hAnsi="Aptos"/>
          <w:color w:val="263746"/>
          <w:sz w:val="18"/>
        </w:rPr>
        <w:t>Who first helped you learn the mighty deeds of God?</w:t>
      </w:r>
    </w:p>
    <w:p>
      <w:pPr>
        <w:pStyle w:val="ListBullet"/>
        <w:spacing w:after="0" w:line="240" w:lineRule="auto"/>
      </w:pPr>
      <w:r>
        <w:rPr>
          <w:rFonts w:ascii="Aptos" w:hAnsi="Aptos"/>
          <w:color w:val="263746"/>
          <w:sz w:val="18"/>
        </w:rPr>
        <w:t>What Bible story or testimony formed your hope when you were younger?</w:t>
      </w:r>
    </w:p>
    <w:p>
      <w:pPr>
        <w:pStyle w:val="ListBullet"/>
        <w:spacing w:after="0" w:line="240" w:lineRule="auto"/>
      </w:pPr>
      <w:r>
        <w:rPr>
          <w:rFonts w:ascii="Aptos" w:hAnsi="Aptos"/>
          <w:color w:val="263746"/>
          <w:sz w:val="18"/>
        </w:rPr>
        <w:t>What do the children in your church most need to hear repeated with love?</w:t>
      </w:r>
    </w:p>
    <w:p>
      <w:pPr>
        <w:pStyle w:val="Heading1"/>
        <w:spacing w:after="40"/>
      </w:pPr>
      <w:r>
        <w:rPr>
          <w:b/>
        </w:rPr>
        <w:t>Brief Hymn Background</w:t>
      </w:r>
    </w:p>
    <w:tbl>
      <w:tblPr>
        <w:tblStyle w:val="TableGrid"/>
        <w:tblW w:type="auto" w:w="0"/>
        <w:jc w:val="center"/>
        <w:tblLook w:firstColumn="1" w:firstRow="1" w:lastColumn="0" w:lastRow="0" w:noHBand="0" w:noVBand="1" w:val="04A0"/>
      </w:tblPr>
      <w:tblGrid>
        <w:gridCol w:w="5184"/>
        <w:gridCol w:w="5184"/>
      </w:tblGrid>
      <w:tr>
        <w:tc>
          <w:tcPr>
            <w:tcW w:type="dxa" w:w="5184"/>
            <w:vAlign w:val="top"/>
            <w:shd w:fill="EFE3C7"/>
          </w:tcPr>
          <w:p>
            <w:pPr>
              <w:spacing w:after="0" w:line="240" w:lineRule="auto"/>
            </w:pPr>
            <w:r/>
            <w:r>
              <w:rPr>
                <w:rFonts w:ascii="Aptos" w:hAnsi="Aptos"/>
                <w:b/>
                <w:color w:val="263746"/>
                <w:sz w:val="16"/>
              </w:rPr>
              <w:t>Text</w:t>
            </w:r>
          </w:p>
        </w:tc>
        <w:tc>
          <w:tcPr>
            <w:tcW w:type="dxa" w:w="5184"/>
            <w:vAlign w:val="top"/>
          </w:tcPr>
          <w:p>
            <w:pPr>
              <w:spacing w:after="0" w:line="240" w:lineRule="auto"/>
            </w:pPr>
            <w:r/>
            <w:r>
              <w:rPr>
                <w:rFonts w:ascii="Aptos" w:hAnsi="Aptos"/>
                <w:b w:val="0"/>
                <w:color w:val="263746"/>
                <w:sz w:val="16"/>
              </w:rPr>
              <w:t>Isaac Watts, 1719</w:t>
            </w:r>
          </w:p>
        </w:tc>
      </w:tr>
      <w:tr>
        <w:tc>
          <w:tcPr>
            <w:tcW w:type="dxa" w:w="5184"/>
            <w:vAlign w:val="top"/>
            <w:shd w:fill="EFE3C7"/>
          </w:tcPr>
          <w:p>
            <w:pPr>
              <w:spacing w:after="0" w:line="240" w:lineRule="auto"/>
            </w:pPr>
            <w:r/>
            <w:r>
              <w:rPr>
                <w:rFonts w:ascii="Aptos" w:hAnsi="Aptos"/>
                <w:b/>
                <w:color w:val="263746"/>
                <w:sz w:val="16"/>
              </w:rPr>
              <w:t>Tune</w:t>
            </w:r>
          </w:p>
        </w:tc>
        <w:tc>
          <w:tcPr>
            <w:tcW w:type="dxa" w:w="5184"/>
            <w:vAlign w:val="top"/>
          </w:tcPr>
          <w:p>
            <w:pPr>
              <w:spacing w:after="0" w:line="240" w:lineRule="auto"/>
            </w:pPr>
            <w:r/>
            <w:r>
              <w:rPr>
                <w:rFonts w:ascii="Aptos" w:hAnsi="Aptos"/>
                <w:b w:val="0"/>
                <w:color w:val="263746"/>
                <w:sz w:val="16"/>
              </w:rPr>
              <w:t>LEA, by James Lea Summers</w:t>
            </w:r>
          </w:p>
        </w:tc>
      </w:tr>
      <w:tr>
        <w:tc>
          <w:tcPr>
            <w:tcW w:type="dxa" w:w="5184"/>
            <w:vAlign w:val="top"/>
            <w:shd w:fill="EFE3C7"/>
          </w:tcPr>
          <w:p>
            <w:pPr>
              <w:spacing w:after="0" w:line="240" w:lineRule="auto"/>
            </w:pPr>
            <w:r/>
            <w:r>
              <w:rPr>
                <w:rFonts w:ascii="Aptos" w:hAnsi="Aptos"/>
                <w:b/>
                <w:color w:val="263746"/>
                <w:sz w:val="16"/>
              </w:rPr>
              <w:t>Meter</w:t>
            </w:r>
          </w:p>
        </w:tc>
        <w:tc>
          <w:tcPr>
            <w:tcW w:type="dxa" w:w="5184"/>
            <w:vAlign w:val="top"/>
          </w:tcPr>
          <w:p>
            <w:pPr>
              <w:spacing w:after="0" w:line="240" w:lineRule="auto"/>
            </w:pPr>
            <w:r/>
            <w:r>
              <w:rPr>
                <w:rFonts w:ascii="Aptos" w:hAnsi="Aptos"/>
                <w:b w:val="0"/>
                <w:color w:val="263746"/>
                <w:sz w:val="16"/>
              </w:rPr>
              <w:t>Common Meter</w:t>
            </w:r>
          </w:p>
        </w:tc>
      </w:tr>
      <w:tr>
        <w:tc>
          <w:tcPr>
            <w:tcW w:type="dxa" w:w="5184"/>
            <w:vAlign w:val="top"/>
            <w:shd w:fill="EFE3C7"/>
          </w:tcPr>
          <w:p>
            <w:pPr>
              <w:spacing w:after="0" w:line="240" w:lineRule="auto"/>
            </w:pPr>
            <w:r/>
            <w:r>
              <w:rPr>
                <w:rFonts w:ascii="Aptos" w:hAnsi="Aptos"/>
                <w:b/>
                <w:color w:val="263746"/>
                <w:sz w:val="16"/>
              </w:rPr>
              <w:t>First line</w:t>
            </w:r>
          </w:p>
        </w:tc>
        <w:tc>
          <w:tcPr>
            <w:tcW w:type="dxa" w:w="5184"/>
            <w:vAlign w:val="top"/>
          </w:tcPr>
          <w:p>
            <w:pPr>
              <w:spacing w:after="0" w:line="240" w:lineRule="auto"/>
            </w:pPr>
            <w:r/>
            <w:r>
              <w:rPr>
                <w:rFonts w:ascii="Aptos" w:hAnsi="Aptos"/>
                <w:b w:val="0"/>
                <w:color w:val="263746"/>
                <w:sz w:val="16"/>
              </w:rPr>
              <w:t>Let children hear the mighty deeds</w:t>
            </w:r>
          </w:p>
        </w:tc>
      </w:tr>
      <w:tr>
        <w:tc>
          <w:tcPr>
            <w:tcW w:type="dxa" w:w="5184"/>
            <w:vAlign w:val="top"/>
            <w:shd w:fill="EFE3C7"/>
          </w:tcPr>
          <w:p>
            <w:pPr>
              <w:spacing w:after="0" w:line="240" w:lineRule="auto"/>
            </w:pPr>
            <w:r/>
            <w:r>
              <w:rPr>
                <w:rFonts w:ascii="Aptos" w:hAnsi="Aptos"/>
                <w:b/>
                <w:color w:val="263746"/>
                <w:sz w:val="16"/>
              </w:rPr>
              <w:t>Main text</w:t>
            </w:r>
          </w:p>
        </w:tc>
        <w:tc>
          <w:tcPr>
            <w:tcW w:type="dxa" w:w="5184"/>
            <w:vAlign w:val="top"/>
          </w:tcPr>
          <w:p>
            <w:pPr>
              <w:spacing w:after="0" w:line="240" w:lineRule="auto"/>
            </w:pPr>
            <w:r/>
            <w:r>
              <w:rPr>
                <w:rFonts w:ascii="Aptos" w:hAnsi="Aptos"/>
                <w:b w:val="0"/>
                <w:color w:val="263746"/>
                <w:sz w:val="16"/>
              </w:rPr>
              <w:t>Psalm 78:4</w:t>
            </w:r>
          </w:p>
        </w:tc>
      </w:tr>
    </w:tbl>
    <w:p>
      <w:pPr>
        <w:spacing w:after="40" w:line="247" w:lineRule="auto"/>
      </w:pPr>
      <w:r>
        <w:rPr>
          <w:rFonts w:ascii="Aptos" w:hAnsi="Aptos"/>
          <w:color w:val="263746"/>
          <w:sz w:val="18"/>
        </w:rPr>
        <w:t>Watts shaped Psalm 78 into a congregational hymn for teaching and remembrance. The text calls God's people to tell the next generation what the Lord has done, so children learn to hope in God and walk in his ways.</w:t>
      </w:r>
    </w:p>
    <w:p>
      <w:pPr>
        <w:pStyle w:val="Heading1"/>
        <w:spacing w:after="40"/>
      </w:pPr>
      <w:r>
        <w:rPr>
          <w:b/>
        </w:rPr>
        <w:t>Primary Scripture</w:t>
      </w:r>
    </w:p>
    <w:p>
      <w:pPr>
        <w:spacing w:after="40" w:line="247" w:lineRule="auto"/>
      </w:pPr>
      <w:r>
        <w:rPr>
          <w:rFonts w:ascii="Aptos" w:hAnsi="Aptos"/>
          <w:color w:val="263746"/>
          <w:sz w:val="18"/>
        </w:rPr>
        <w:t>Psalm 78:4: “We will not hide them from their children, telling to the generation to come the praises of Yahweh, his strength, and his wondrous deeds that he has done.”</w:t>
      </w:r>
    </w:p>
    <w:p>
      <w:pPr>
        <w:spacing w:after="40" w:line="247" w:lineRule="auto"/>
      </w:pPr>
      <w:r>
        <w:rPr>
          <w:rFonts w:ascii="Aptos" w:hAnsi="Aptos"/>
          <w:color w:val="263746"/>
          <w:sz w:val="18"/>
        </w:rPr>
        <w:t>Supporting passages: Psalm 78:5-7; Deuteronomy 4:9; Ephesians 6:4.</w:t>
      </w:r>
    </w:p>
    <w:p>
      <w:pPr>
        <w:pStyle w:val="Heading1"/>
        <w:spacing w:after="40"/>
      </w:pPr>
      <w:r>
        <w:rPr>
          <w:b/>
        </w:rPr>
        <w:t>Hymn Movement</w:t>
      </w:r>
    </w:p>
    <w:p>
      <w:pPr>
        <w:spacing w:after="20" w:line="240" w:lineRule="auto"/>
      </w:pPr>
      <w:r>
        <w:rPr>
          <w:rFonts w:ascii="Aptos" w:hAnsi="Aptos"/>
          <w:b/>
          <w:color w:val="7A4F24"/>
          <w:sz w:val="18"/>
        </w:rPr>
        <w:t xml:space="preserve">1. Children hear — </w:t>
      </w:r>
      <w:r>
        <w:rPr>
          <w:rFonts w:ascii="Aptos" w:hAnsi="Aptos"/>
          <w:color w:val="263746"/>
          <w:sz w:val="18"/>
        </w:rPr>
        <w:t>The hymn begins with children as real hearers of God's Word and works.</w:t>
      </w:r>
    </w:p>
    <w:p>
      <w:pPr>
        <w:spacing w:after="20" w:line="240" w:lineRule="auto"/>
      </w:pPr>
      <w:r>
        <w:rPr>
          <w:rFonts w:ascii="Aptos" w:hAnsi="Aptos"/>
          <w:b/>
          <w:color w:val="7A4F24"/>
          <w:sz w:val="18"/>
        </w:rPr>
        <w:t xml:space="preserve">2. The church tells — </w:t>
      </w:r>
      <w:r>
        <w:rPr>
          <w:rFonts w:ascii="Aptos" w:hAnsi="Aptos"/>
          <w:color w:val="263746"/>
          <w:sz w:val="18"/>
        </w:rPr>
        <w:t>God's praises, strength, and deeds are passed on.</w:t>
      </w:r>
    </w:p>
    <w:p>
      <w:pPr>
        <w:spacing w:after="20" w:line="240" w:lineRule="auto"/>
      </w:pPr>
      <w:r>
        <w:rPr>
          <w:rFonts w:ascii="Aptos" w:hAnsi="Aptos"/>
          <w:b/>
          <w:color w:val="7A4F24"/>
          <w:sz w:val="18"/>
        </w:rPr>
        <w:t xml:space="preserve">3. Generations continue — </w:t>
      </w:r>
      <w:r>
        <w:rPr>
          <w:rFonts w:ascii="Aptos" w:hAnsi="Aptos"/>
          <w:color w:val="263746"/>
          <w:sz w:val="18"/>
        </w:rPr>
        <w:t>Those who receive the story grow into witnesses for those who come after them.</w:t>
      </w:r>
    </w:p>
    <w:p>
      <w:pPr>
        <w:spacing w:after="20" w:line="240" w:lineRule="auto"/>
      </w:pPr>
      <w:r>
        <w:rPr>
          <w:rFonts w:ascii="Aptos" w:hAnsi="Aptos"/>
          <w:b/>
          <w:color w:val="7A4F24"/>
          <w:sz w:val="18"/>
        </w:rPr>
        <w:t xml:space="preserve">4. Hope becomes obedience — </w:t>
      </w:r>
      <w:r>
        <w:rPr>
          <w:rFonts w:ascii="Aptos" w:hAnsi="Aptos"/>
          <w:color w:val="263746"/>
          <w:sz w:val="18"/>
        </w:rPr>
        <w:t>The goal is trust in God, faithful remembrance, and a life shaped by his commands.</w:t>
      </w:r>
    </w:p>
    <w:p>
      <w:r>
        <w:br/>
      </w:r>
    </w:p>
    <w:p>
      <w:pPr>
        <w:pStyle w:val="Heading1"/>
        <w:spacing w:after="40"/>
      </w:pPr>
      <w:r>
        <w:rPr>
          <w:b/>
        </w:rPr>
        <w:t>Study Table</w:t>
      </w:r>
    </w:p>
    <w:tbl>
      <w:tblPr>
        <w:tblStyle w:val="TableGrid"/>
        <w:tblW w:type="auto" w:w="0"/>
        <w:jc w:val="center"/>
        <w:tblLook w:firstColumn="1" w:firstRow="1" w:lastColumn="0" w:lastRow="0" w:noHBand="0" w:noVBand="1" w:val="04A0"/>
      </w:tblPr>
      <w:tblGrid>
        <w:gridCol w:w="3456"/>
        <w:gridCol w:w="3456"/>
        <w:gridCol w:w="3456"/>
      </w:tblGrid>
      <w:tr>
        <w:trPr>
          <w:cantSplit/>
        </w:trPr>
        <w:tc>
          <w:tcPr>
            <w:tcW w:type="dxa" w:w="3456"/>
            <w:vAlign w:val="top"/>
            <w:shd w:fill="2F5360"/>
          </w:tcPr>
          <w:p>
            <w:pPr>
              <w:spacing w:after="0" w:line="240" w:lineRule="auto"/>
            </w:pPr>
            <w:r/>
            <w:r>
              <w:rPr>
                <w:rFonts w:ascii="Aptos" w:hAnsi="Aptos"/>
                <w:b/>
                <w:color w:val="FFFFFF"/>
                <w:sz w:val="16"/>
              </w:rPr>
              <w:t>Hymn Theme</w:t>
            </w:r>
          </w:p>
        </w:tc>
        <w:tc>
          <w:tcPr>
            <w:tcW w:type="dxa" w:w="3456"/>
            <w:vAlign w:val="top"/>
            <w:shd w:fill="2F5360"/>
          </w:tcPr>
          <w:p>
            <w:pPr>
              <w:spacing w:after="0" w:line="240" w:lineRule="auto"/>
            </w:pPr>
            <w:r/>
            <w:r>
              <w:rPr>
                <w:rFonts w:ascii="Aptos" w:hAnsi="Aptos"/>
                <w:b/>
                <w:color w:val="FFFFFF"/>
                <w:sz w:val="16"/>
              </w:rPr>
              <w:t>Scripture Connection</w:t>
            </w:r>
          </w:p>
        </w:tc>
        <w:tc>
          <w:tcPr>
            <w:tcW w:type="dxa" w:w="3456"/>
            <w:vAlign w:val="top"/>
            <w:shd w:fill="2F5360"/>
          </w:tcPr>
          <w:p>
            <w:pPr>
              <w:spacing w:after="0" w:line="240" w:lineRule="auto"/>
            </w:pPr>
            <w:r/>
            <w:r>
              <w:rPr>
                <w:rFonts w:ascii="Aptos" w:hAnsi="Aptos"/>
                <w:b/>
                <w:color w:val="FFFFFF"/>
                <w:sz w:val="16"/>
              </w:rPr>
              <w:t>Discussion Prompt</w:t>
            </w:r>
          </w:p>
        </w:tc>
      </w:tr>
      <w:tr>
        <w:trPr>
          <w:cantSplit/>
        </w:trPr>
        <w:tc>
          <w:tcPr>
            <w:tcW w:type="dxa" w:w="3456"/>
            <w:vAlign w:val="top"/>
          </w:tcPr>
          <w:p>
            <w:pPr>
              <w:spacing w:after="0" w:line="240" w:lineRule="auto"/>
            </w:pPr>
            <w:r/>
            <w:r>
              <w:rPr>
                <w:rFonts w:ascii="Aptos" w:hAnsi="Aptos"/>
                <w:b w:val="0"/>
                <w:color w:val="263746"/>
                <w:sz w:val="16"/>
              </w:rPr>
              <w:t>Mighty deeds</w:t>
            </w:r>
          </w:p>
        </w:tc>
        <w:tc>
          <w:tcPr>
            <w:tcW w:type="dxa" w:w="3456"/>
            <w:vAlign w:val="top"/>
          </w:tcPr>
          <w:p>
            <w:pPr>
              <w:spacing w:after="0" w:line="240" w:lineRule="auto"/>
            </w:pPr>
            <w:r/>
            <w:r>
              <w:rPr>
                <w:rFonts w:ascii="Aptos" w:hAnsi="Aptos"/>
                <w:b w:val="0"/>
                <w:color w:val="263746"/>
                <w:sz w:val="16"/>
              </w:rPr>
              <w:t>Psalm 78:4</w:t>
            </w:r>
          </w:p>
        </w:tc>
        <w:tc>
          <w:tcPr>
            <w:tcW w:type="dxa" w:w="3456"/>
            <w:vAlign w:val="top"/>
          </w:tcPr>
          <w:p>
            <w:pPr>
              <w:spacing w:after="0" w:line="240" w:lineRule="auto"/>
            </w:pPr>
            <w:r/>
            <w:r>
              <w:rPr>
                <w:rFonts w:ascii="Aptos" w:hAnsi="Aptos"/>
                <w:b w:val="0"/>
                <w:color w:val="263746"/>
                <w:sz w:val="16"/>
              </w:rPr>
              <w:t>What works of God should our children hear most often?</w:t>
            </w:r>
          </w:p>
        </w:tc>
      </w:tr>
      <w:tr>
        <w:trPr>
          <w:cantSplit/>
        </w:trPr>
        <w:tc>
          <w:tcPr>
            <w:tcW w:type="dxa" w:w="3456"/>
            <w:vAlign w:val="top"/>
          </w:tcPr>
          <w:p>
            <w:pPr>
              <w:spacing w:after="0" w:line="240" w:lineRule="auto"/>
            </w:pPr>
            <w:r/>
            <w:r>
              <w:rPr>
                <w:rFonts w:ascii="Aptos" w:hAnsi="Aptos"/>
                <w:b w:val="0"/>
                <w:color w:val="263746"/>
                <w:sz w:val="16"/>
              </w:rPr>
              <w:t>Faithful memory</w:t>
            </w:r>
          </w:p>
        </w:tc>
        <w:tc>
          <w:tcPr>
            <w:tcW w:type="dxa" w:w="3456"/>
            <w:vAlign w:val="top"/>
          </w:tcPr>
          <w:p>
            <w:pPr>
              <w:spacing w:after="0" w:line="240" w:lineRule="auto"/>
            </w:pPr>
            <w:r/>
            <w:r>
              <w:rPr>
                <w:rFonts w:ascii="Aptos" w:hAnsi="Aptos"/>
                <w:b w:val="0"/>
                <w:color w:val="263746"/>
                <w:sz w:val="16"/>
              </w:rPr>
              <w:t>Deuteronomy 4:9</w:t>
            </w:r>
          </w:p>
        </w:tc>
        <w:tc>
          <w:tcPr>
            <w:tcW w:type="dxa" w:w="3456"/>
            <w:vAlign w:val="top"/>
          </w:tcPr>
          <w:p>
            <w:pPr>
              <w:spacing w:after="0" w:line="240" w:lineRule="auto"/>
            </w:pPr>
            <w:r/>
            <w:r>
              <w:rPr>
                <w:rFonts w:ascii="Aptos" w:hAnsi="Aptos"/>
                <w:b w:val="0"/>
                <w:color w:val="263746"/>
                <w:sz w:val="16"/>
              </w:rPr>
              <w:t>How can memory become worship rather than nostalgia?</w:t>
            </w:r>
          </w:p>
        </w:tc>
      </w:tr>
      <w:tr>
        <w:trPr>
          <w:cantSplit/>
        </w:trPr>
        <w:tc>
          <w:tcPr>
            <w:tcW w:type="dxa" w:w="3456"/>
            <w:vAlign w:val="top"/>
          </w:tcPr>
          <w:p>
            <w:pPr>
              <w:spacing w:after="0" w:line="240" w:lineRule="auto"/>
            </w:pPr>
            <w:r/>
            <w:r>
              <w:rPr>
                <w:rFonts w:ascii="Aptos" w:hAnsi="Aptos"/>
                <w:b w:val="0"/>
                <w:color w:val="263746"/>
                <w:sz w:val="16"/>
              </w:rPr>
              <w:t>Hope in God</w:t>
            </w:r>
          </w:p>
        </w:tc>
        <w:tc>
          <w:tcPr>
            <w:tcW w:type="dxa" w:w="3456"/>
            <w:vAlign w:val="top"/>
          </w:tcPr>
          <w:p>
            <w:pPr>
              <w:spacing w:after="0" w:line="240" w:lineRule="auto"/>
            </w:pPr>
            <w:r/>
            <w:r>
              <w:rPr>
                <w:rFonts w:ascii="Aptos" w:hAnsi="Aptos"/>
                <w:b w:val="0"/>
                <w:color w:val="263746"/>
                <w:sz w:val="16"/>
              </w:rPr>
              <w:t>Psalm 78:7</w:t>
            </w:r>
          </w:p>
        </w:tc>
        <w:tc>
          <w:tcPr>
            <w:tcW w:type="dxa" w:w="3456"/>
            <w:vAlign w:val="top"/>
          </w:tcPr>
          <w:p>
            <w:pPr>
              <w:spacing w:after="0" w:line="240" w:lineRule="auto"/>
            </w:pPr>
            <w:r/>
            <w:r>
              <w:rPr>
                <w:rFonts w:ascii="Aptos" w:hAnsi="Aptos"/>
                <w:b w:val="0"/>
                <w:color w:val="263746"/>
                <w:sz w:val="16"/>
              </w:rPr>
              <w:t>How does teaching aim at trust, not only knowledge?</w:t>
            </w:r>
          </w:p>
        </w:tc>
      </w:tr>
      <w:tr>
        <w:trPr>
          <w:cantSplit/>
        </w:trPr>
        <w:tc>
          <w:tcPr>
            <w:tcW w:type="dxa" w:w="3456"/>
            <w:vAlign w:val="top"/>
          </w:tcPr>
          <w:p>
            <w:pPr>
              <w:spacing w:after="0" w:line="240" w:lineRule="auto"/>
            </w:pPr>
            <w:r/>
            <w:r>
              <w:rPr>
                <w:rFonts w:ascii="Aptos" w:hAnsi="Aptos"/>
                <w:b w:val="0"/>
                <w:color w:val="263746"/>
                <w:sz w:val="16"/>
              </w:rPr>
              <w:t>Household nurture</w:t>
            </w:r>
          </w:p>
        </w:tc>
        <w:tc>
          <w:tcPr>
            <w:tcW w:type="dxa" w:w="3456"/>
            <w:vAlign w:val="top"/>
          </w:tcPr>
          <w:p>
            <w:pPr>
              <w:spacing w:after="0" w:line="240" w:lineRule="auto"/>
            </w:pPr>
            <w:r/>
            <w:r>
              <w:rPr>
                <w:rFonts w:ascii="Aptos" w:hAnsi="Aptos"/>
                <w:b w:val="0"/>
                <w:color w:val="263746"/>
                <w:sz w:val="16"/>
              </w:rPr>
              <w:t>Ephesians 6:4</w:t>
            </w:r>
          </w:p>
        </w:tc>
        <w:tc>
          <w:tcPr>
            <w:tcW w:type="dxa" w:w="3456"/>
            <w:vAlign w:val="top"/>
          </w:tcPr>
          <w:p>
            <w:pPr>
              <w:spacing w:after="0" w:line="240" w:lineRule="auto"/>
            </w:pPr>
            <w:r/>
            <w:r>
              <w:rPr>
                <w:rFonts w:ascii="Aptos" w:hAnsi="Aptos"/>
                <w:b w:val="0"/>
                <w:color w:val="263746"/>
                <w:sz w:val="16"/>
              </w:rPr>
              <w:t>What small practice could help a home or class grow in the Lord?</w:t>
            </w:r>
          </w:p>
        </w:tc>
      </w:tr>
    </w:tbl>
    <w:p>
      <w:pPr>
        <w:pStyle w:val="Heading1"/>
        <w:spacing w:after="40"/>
      </w:pPr>
      <w:r>
        <w:rPr>
          <w:b/>
        </w:rPr>
        <w:t>Discussion Questions</w:t>
      </w:r>
    </w:p>
    <w:p>
      <w:pPr>
        <w:pStyle w:val="ListNumber"/>
        <w:spacing w:after="0" w:line="240" w:lineRule="auto"/>
      </w:pPr>
      <w:r>
        <w:rPr>
          <w:rFonts w:ascii="Aptos" w:hAnsi="Aptos"/>
          <w:color w:val="263746"/>
          <w:sz w:val="18"/>
        </w:rPr>
        <w:t>What does Psalm 78 say the older generation must not hide?</w:t>
      </w:r>
    </w:p>
    <w:p>
      <w:pPr>
        <w:pStyle w:val="ListNumber"/>
        <w:spacing w:after="0" w:line="240" w:lineRule="auto"/>
      </w:pPr>
      <w:r>
        <w:rPr>
          <w:rFonts w:ascii="Aptos" w:hAnsi="Aptos"/>
          <w:color w:val="263746"/>
          <w:sz w:val="18"/>
        </w:rPr>
        <w:t>How does the hymn keep teaching centered on God rather than on ourselves?</w:t>
      </w:r>
    </w:p>
    <w:p>
      <w:pPr>
        <w:pStyle w:val="ListNumber"/>
        <w:spacing w:after="0" w:line="240" w:lineRule="auto"/>
      </w:pPr>
      <w:r>
        <w:rPr>
          <w:rFonts w:ascii="Aptos" w:hAnsi="Aptos"/>
          <w:color w:val="263746"/>
          <w:sz w:val="18"/>
        </w:rPr>
        <w:t>Why does forgetfulness become spiritually dangerous in Scripture?</w:t>
      </w:r>
    </w:p>
    <w:p>
      <w:pPr>
        <w:pStyle w:val="ListNumber"/>
        <w:spacing w:after="0" w:line="240" w:lineRule="auto"/>
      </w:pPr>
      <w:r>
        <w:rPr>
          <w:rFonts w:ascii="Aptos" w:hAnsi="Aptos"/>
          <w:color w:val="263746"/>
          <w:sz w:val="18"/>
        </w:rPr>
        <w:t>What is the difference between telling children moral lessons and telling them the mighty deeds of God?</w:t>
      </w:r>
    </w:p>
    <w:p>
      <w:pPr>
        <w:pStyle w:val="ListNumber"/>
        <w:spacing w:after="0" w:line="240" w:lineRule="auto"/>
      </w:pPr>
      <w:r>
        <w:rPr>
          <w:rFonts w:ascii="Aptos" w:hAnsi="Aptos"/>
          <w:color w:val="263746"/>
          <w:sz w:val="18"/>
        </w:rPr>
        <w:t>Where do parents, teachers, elders, and children each have a part in this calling?</w:t>
      </w:r>
    </w:p>
    <w:p>
      <w:pPr>
        <w:pStyle w:val="ListNumber"/>
        <w:spacing w:after="0" w:line="240" w:lineRule="auto"/>
      </w:pPr>
      <w:r>
        <w:rPr>
          <w:rFonts w:ascii="Aptos" w:hAnsi="Aptos"/>
          <w:color w:val="263746"/>
          <w:sz w:val="18"/>
        </w:rPr>
        <w:t>What one story of God's grace should you pass on this week?</w:t>
      </w:r>
    </w:p>
    <w:p>
      <w:pPr>
        <w:pStyle w:val="ListNumber"/>
        <w:spacing w:after="0" w:line="240" w:lineRule="auto"/>
      </w:pPr>
      <w:r>
        <w:rPr>
          <w:rFonts w:ascii="Aptos" w:hAnsi="Aptos"/>
          <w:color w:val="263746"/>
          <w:sz w:val="18"/>
        </w:rPr>
        <w:t>How can a congregation make room for children as hearers, singers, and learners?</w:t>
      </w:r>
    </w:p>
    <w:p>
      <w:pPr>
        <w:pStyle w:val="Heading1"/>
        <w:spacing w:after="40"/>
      </w:pPr>
      <w:r>
        <w:rPr>
          <w:b/>
        </w:rPr>
        <w:t>Practice This Week</w:t>
      </w:r>
    </w:p>
    <w:p>
      <w:pPr>
        <w:pStyle w:val="ListBullet"/>
        <w:spacing w:after="0" w:line="240" w:lineRule="auto"/>
      </w:pPr>
      <w:r>
        <w:rPr>
          <w:rFonts w:ascii="Aptos" w:hAnsi="Aptos"/>
          <w:color w:val="263746"/>
          <w:sz w:val="18"/>
        </w:rPr>
        <w:t>Read Psalm 78:4-7 aloud and pray for one younger believer by name.</w:t>
      </w:r>
    </w:p>
    <w:p>
      <w:pPr>
        <w:pStyle w:val="ListBullet"/>
        <w:spacing w:after="0" w:line="240" w:lineRule="auto"/>
      </w:pPr>
      <w:r>
        <w:rPr>
          <w:rFonts w:ascii="Aptos" w:hAnsi="Aptos"/>
          <w:color w:val="263746"/>
          <w:sz w:val="18"/>
        </w:rPr>
        <w:t>Tell one child, student, or younger adult a specific way God has shown mercy.</w:t>
      </w:r>
    </w:p>
    <w:p>
      <w:pPr>
        <w:pStyle w:val="ListBullet"/>
        <w:spacing w:after="0" w:line="240" w:lineRule="auto"/>
      </w:pPr>
      <w:r>
        <w:rPr>
          <w:rFonts w:ascii="Aptos" w:hAnsi="Aptos"/>
          <w:color w:val="263746"/>
          <w:sz w:val="18"/>
        </w:rPr>
        <w:t>Ask an older believer to share a faithful memory you can pass on.</w:t>
      </w:r>
    </w:p>
    <w:p>
      <w:pPr>
        <w:pStyle w:val="ListBullet"/>
        <w:spacing w:after="0" w:line="240" w:lineRule="auto"/>
      </w:pPr>
      <w:r>
        <w:rPr>
          <w:rFonts w:ascii="Aptos" w:hAnsi="Aptos"/>
          <w:color w:val="263746"/>
          <w:sz w:val="18"/>
        </w:rPr>
        <w:t>Choose one repeated phrase, song, or Scripture for family or classroom worship.</w:t>
      </w:r>
    </w:p>
    <w:p>
      <w:pPr>
        <w:pStyle w:val="Heading1"/>
        <w:spacing w:after="40"/>
      </w:pPr>
      <w:r>
        <w:rPr>
          <w:b/>
        </w:rPr>
        <w:t>Leader Notes</w:t>
      </w:r>
    </w:p>
    <w:p>
      <w:pPr>
        <w:spacing w:after="40" w:line="247" w:lineRule="auto"/>
      </w:pPr>
      <w:r>
        <w:rPr>
          <w:rFonts w:ascii="Aptos" w:hAnsi="Aptos"/>
          <w:color w:val="263746"/>
          <w:sz w:val="18"/>
        </w:rPr>
        <w:t>Keep the discussion concrete. Ask people to name actual works of God from Scripture and from faithful testimony. Help the group see that Christian education is not merely information transfer; it is the church teaching children to hope in the Lord.</w:t>
      </w:r>
    </w:p>
    <w:p>
      <w:pPr>
        <w:pStyle w:val="Heading1"/>
        <w:spacing w:after="40"/>
      </w:pPr>
      <w:r>
        <w:rPr>
          <w:b/>
        </w:rPr>
        <w:t>Closing Prayer</w:t>
      </w:r>
    </w:p>
    <w:p>
      <w:pPr>
        <w:spacing w:after="40" w:line="247" w:lineRule="auto"/>
      </w:pPr>
      <w:r>
        <w:rPr>
          <w:rFonts w:ascii="Aptos" w:hAnsi="Aptos"/>
          <w:color w:val="263746"/>
          <w:sz w:val="18"/>
        </w:rPr>
        <w:t>Lord God, you have done mighty deeds and have entrusted your praise to your people. Give us faithful tongues, patient hearts, and wise habits, so the next generation may hope in you and keep your ways. Amen.</w:t>
      </w:r>
    </w:p>
    <w:p>
      <w:pPr>
        <w:jc w:val="center"/>
      </w:pPr>
      <w:r>
        <w:rPr>
          <w:rFonts w:ascii="Aptos" w:hAnsi="Aptos"/>
          <w:color w:val="646464"/>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6374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A4F2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6374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Children Hear the Mighty Deeds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