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color w:val="5B3B1E"/>
          <w:sz w:val="36"/>
        </w:rPr>
        <w:t>Blind Bartimaeus</w:t>
      </w:r>
    </w:p>
    <w:p>
      <w:pPr>
        <w:jc w:val="center"/>
      </w:pPr>
      <w:r>
        <w:rPr>
          <w:rFonts w:ascii="Aptos" w:hAnsi="Aptos"/>
          <w:i/>
          <w:sz w:val="20"/>
        </w:rPr>
        <w:t>A small group study on mercy, faith, restored sight, and following Jesus</w:t>
      </w:r>
    </w:p>
    <w:p>
      <w:pPr>
        <w:pStyle w:val="Heading1"/>
        <w:spacing w:before="120" w:after="60"/>
      </w:pPr>
      <w:r>
        <w:t>Purpose</w:t>
      </w:r>
    </w:p>
    <w:p>
      <w:pPr>
        <w:spacing w:after="60" w:line="245" w:lineRule="auto"/>
      </w:pPr>
      <w:r>
        <w:rPr>
          <w:rFonts w:ascii="Aptos" w:hAnsi="Aptos"/>
          <w:sz w:val="19"/>
        </w:rPr>
        <w:t>This study helps a group hear the Gospel story behind the hymn and respond to Christ with honest prayer, hopeful faith, and obedient discipleship.</w:t>
      </w:r>
    </w:p>
    <w:p>
      <w:pPr>
        <w:pStyle w:val="Heading1"/>
        <w:spacing w:before="120" w:after="60"/>
      </w:pPr>
      <w:r>
        <w:t>Opening Reflection</w:t>
      </w:r>
    </w:p>
    <w:p>
      <w:pPr>
        <w:pStyle w:val="ListBullet"/>
        <w:spacing w:after="40"/>
        <w:ind w:left="259"/>
      </w:pPr>
      <w:r>
        <w:rPr>
          <w:rFonts w:ascii="Aptos" w:hAnsi="Aptos"/>
          <w:sz w:val="18"/>
        </w:rPr>
        <w:t>When have you felt like an outsider who needed someone to stop and listen?</w:t>
      </w:r>
    </w:p>
    <w:p>
      <w:pPr>
        <w:pStyle w:val="ListBullet"/>
        <w:spacing w:after="40"/>
        <w:ind w:left="259"/>
      </w:pPr>
      <w:r>
        <w:rPr>
          <w:rFonts w:ascii="Aptos" w:hAnsi="Aptos"/>
          <w:sz w:val="18"/>
        </w:rPr>
        <w:t>What makes it difficult to keep praying when others discourage you?</w:t>
      </w:r>
    </w:p>
    <w:p>
      <w:pPr>
        <w:pStyle w:val="ListBullet"/>
        <w:spacing w:after="40"/>
        <w:ind w:left="259"/>
      </w:pPr>
      <w:r>
        <w:rPr>
          <w:rFonts w:ascii="Aptos" w:hAnsi="Aptos"/>
          <w:sz w:val="18"/>
        </w:rPr>
        <w:t>What would change if you believed Jesus was calling you by mercy today?</w:t>
      </w:r>
    </w:p>
    <w:p>
      <w:pPr>
        <w:pStyle w:val="Heading1"/>
        <w:spacing w:before="120" w:after="60"/>
      </w:pPr>
      <w:r>
        <w:t>Brief Hymn Background</w:t>
      </w:r>
    </w:p>
    <w:p>
      <w:pPr>
        <w:spacing w:after="60" w:line="245" w:lineRule="auto"/>
      </w:pPr>
      <w:r>
        <w:rPr>
          <w:rFonts w:ascii="Aptos" w:hAnsi="Aptos"/>
          <w:sz w:val="19"/>
        </w:rPr>
        <w:t>Blind Bartimaeus began as a poem by Henry Wadsworth Longfellow based on Mark 10:46-52. Later hymn settings adapted the poem for congregational singing.</w:t>
      </w:r>
    </w:p>
    <w:p>
      <w:pPr>
        <w:spacing w:after="60" w:line="245" w:lineRule="auto"/>
      </w:pPr>
      <w:r>
        <w:rPr>
          <w:rFonts w:ascii="Aptos" w:hAnsi="Aptos"/>
          <w:sz w:val="19"/>
        </w:rPr>
        <w:t>The tune FILLMORE is associated with Jeremiah Ingalls and belongs to the early American sacred music tradition. Its firm, direct character helps the Gospel narrative move clearly from need to mercy and from healing to following Jesus.</w:t>
      </w:r>
    </w:p>
    <w:p>
      <w:pPr>
        <w:pStyle w:val="Heading1"/>
        <w:spacing w:before="120" w:after="60"/>
      </w:pPr>
      <w:r>
        <w:t>Primary Passage and Related Passages</w:t>
      </w:r>
    </w:p>
    <w:p>
      <w:pPr>
        <w:spacing w:after="60" w:line="245" w:lineRule="auto"/>
      </w:pPr>
      <w:r>
        <w:rPr>
          <w:rFonts w:ascii="Aptos" w:hAnsi="Aptos"/>
          <w:sz w:val="19"/>
        </w:rPr>
        <w:t>Primary passage: Mark 10:52 — Jesus heals Bartimaeus and the healed man follows him on the way.</w:t>
      </w:r>
    </w:p>
    <w:p>
      <w:pPr>
        <w:pStyle w:val="ListBullet"/>
        <w:spacing w:after="40"/>
        <w:ind w:left="259"/>
      </w:pPr>
      <w:r>
        <w:rPr>
          <w:rFonts w:ascii="Aptos" w:hAnsi="Aptos"/>
          <w:sz w:val="18"/>
        </w:rPr>
        <w:t>Mark 10:47 — the cry to Jesus, Son of David, for mercy</w:t>
      </w:r>
    </w:p>
    <w:p>
      <w:pPr>
        <w:pStyle w:val="ListBullet"/>
        <w:spacing w:after="40"/>
        <w:ind w:left="259"/>
      </w:pPr>
      <w:r>
        <w:rPr>
          <w:rFonts w:ascii="Aptos" w:hAnsi="Aptos"/>
          <w:sz w:val="18"/>
        </w:rPr>
        <w:t>Mark 10:49 — Jesus stops and calls the man whom the crowd had rebuked</w:t>
      </w:r>
    </w:p>
    <w:p>
      <w:pPr>
        <w:pStyle w:val="ListBullet"/>
        <w:spacing w:after="40"/>
        <w:ind w:left="259"/>
      </w:pPr>
      <w:r>
        <w:rPr>
          <w:rFonts w:ascii="Aptos" w:hAnsi="Aptos"/>
          <w:sz w:val="18"/>
        </w:rPr>
        <w:t>Psalm 146:8 — the Lord opens blind eyes</w:t>
      </w:r>
    </w:p>
    <w:p>
      <w:pPr>
        <w:pStyle w:val="ListBullet"/>
        <w:spacing w:after="40"/>
        <w:ind w:left="259"/>
      </w:pPr>
      <w:r>
        <w:rPr>
          <w:rFonts w:ascii="Aptos" w:hAnsi="Aptos"/>
          <w:sz w:val="18"/>
        </w:rPr>
        <w:t>Isaiah 42:7 — God’s servant brings light to those in darkness</w:t>
      </w:r>
    </w:p>
    <w:p>
      <w:pPr>
        <w:pStyle w:val="ListBullet"/>
        <w:spacing w:after="40"/>
        <w:ind w:left="259"/>
      </w:pPr>
      <w:r>
        <w:rPr>
          <w:rFonts w:ascii="Aptos" w:hAnsi="Aptos"/>
          <w:sz w:val="18"/>
        </w:rPr>
        <w:t>2 Corinthians 4:6 — God gives the light of the knowledge of his glory in Christ</w:t>
      </w:r>
    </w:p>
    <w:p>
      <w:pPr>
        <w:pStyle w:val="Heading1"/>
        <w:spacing w:before="120" w:after="60"/>
      </w:pPr>
      <w:r>
        <w:t>Hymn-Section Study</w:t>
      </w:r>
    </w:p>
    <w:p>
      <w:pPr>
        <w:pStyle w:val="Heading2"/>
        <w:spacing w:before="120" w:after="60"/>
      </w:pPr>
      <w:r>
        <w:t>At the gate</w:t>
      </w:r>
    </w:p>
    <w:p>
      <w:pPr>
        <w:spacing w:after="60" w:line="245" w:lineRule="auto"/>
      </w:pPr>
      <w:r>
        <w:rPr>
          <w:rFonts w:ascii="Aptos" w:hAnsi="Aptos"/>
          <w:sz w:val="19"/>
        </w:rPr>
        <w:t>The hymn begins with Bartimaeus in visible need and social vulnerability. The scene prepares us to see mercy before we draw conclusions about faith.</w:t>
      </w:r>
    </w:p>
    <w:p>
      <w:pPr>
        <w:pStyle w:val="Heading2"/>
        <w:spacing w:before="120" w:after="60"/>
      </w:pPr>
      <w:r>
        <w:t>The cry for mercy</w:t>
      </w:r>
    </w:p>
    <w:p>
      <w:pPr>
        <w:spacing w:after="60" w:line="245" w:lineRule="auto"/>
      </w:pPr>
      <w:r>
        <w:rPr>
          <w:rFonts w:ascii="Aptos" w:hAnsi="Aptos"/>
          <w:sz w:val="19"/>
        </w:rPr>
        <w:t>Bartimaeus hears that Jesus is near and cries out. His prayer is direct, urgent, and rooted in trust that Jesus can help him.</w:t>
      </w:r>
    </w:p>
    <w:p>
      <w:pPr>
        <w:pStyle w:val="Heading2"/>
        <w:spacing w:before="120" w:after="60"/>
      </w:pPr>
      <w:r>
        <w:t>The call of Christ</w:t>
      </w:r>
    </w:p>
    <w:p>
      <w:pPr>
        <w:spacing w:after="60" w:line="245" w:lineRule="auto"/>
      </w:pPr>
      <w:r>
        <w:rPr>
          <w:rFonts w:ascii="Aptos" w:hAnsi="Aptos"/>
          <w:sz w:val="19"/>
        </w:rPr>
        <w:t>The turning point comes when Jesus stands still and calls him. The crowd does not have the final word over the person in need.</w:t>
      </w:r>
    </w:p>
    <w:p>
      <w:pPr>
        <w:pStyle w:val="Heading2"/>
        <w:spacing w:before="120" w:after="60"/>
      </w:pPr>
      <w:r>
        <w:t>Sight and following</w:t>
      </w:r>
    </w:p>
    <w:p>
      <w:pPr>
        <w:spacing w:after="60" w:line="245" w:lineRule="auto"/>
      </w:pPr>
      <w:r>
        <w:rPr>
          <w:rFonts w:ascii="Aptos" w:hAnsi="Aptos"/>
          <w:sz w:val="19"/>
        </w:rPr>
        <w:t>The story ends with restored sight and discipleship. Mercy received becomes movement toward Jesus and life on his way.</w:t>
      </w:r>
    </w:p>
    <w:p>
      <w:pPr>
        <w:pStyle w:val="Heading1"/>
        <w:spacing w:before="120" w:after="60"/>
      </w:pPr>
      <w:r>
        <w:t>Study Table</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EAD8A7"/>
          </w:tcPr>
          <w:p>
            <w:r/>
            <w:r>
              <w:rPr>
                <w:rFonts w:ascii="Aptos" w:hAnsi="Aptos"/>
                <w:b/>
                <w:sz w:val="19"/>
              </w:rPr>
              <w:t>Hymn Theme</w:t>
            </w:r>
          </w:p>
        </w:tc>
        <w:tc>
          <w:tcPr>
            <w:tcW w:type="dxa" w:w="3456"/>
            <w:shd w:fill="EAD8A7"/>
          </w:tcPr>
          <w:p>
            <w:r/>
            <w:r>
              <w:rPr>
                <w:rFonts w:ascii="Aptos" w:hAnsi="Aptos"/>
                <w:b/>
                <w:sz w:val="19"/>
              </w:rPr>
              <w:t>Scripture Connection</w:t>
            </w:r>
          </w:p>
        </w:tc>
        <w:tc>
          <w:tcPr>
            <w:tcW w:type="dxa" w:w="3456"/>
            <w:shd w:fill="EAD8A7"/>
          </w:tcPr>
          <w:p>
            <w:r/>
            <w:r>
              <w:rPr>
                <w:rFonts w:ascii="Aptos" w:hAnsi="Aptos"/>
                <w:b/>
                <w:sz w:val="19"/>
              </w:rPr>
              <w:t>Discussion Prompt</w:t>
            </w:r>
          </w:p>
        </w:tc>
      </w:tr>
      <w:tr>
        <w:tc>
          <w:tcPr>
            <w:tcW w:type="dxa" w:w="3456"/>
          </w:tcPr>
          <w:p>
            <w:r/>
            <w:r>
              <w:rPr>
                <w:rFonts w:ascii="Aptos" w:hAnsi="Aptos"/>
                <w:b w:val="0"/>
                <w:sz w:val="19"/>
              </w:rPr>
              <w:t>Mercy</w:t>
            </w:r>
          </w:p>
        </w:tc>
        <w:tc>
          <w:tcPr>
            <w:tcW w:type="dxa" w:w="3456"/>
          </w:tcPr>
          <w:p>
            <w:r/>
            <w:r>
              <w:rPr>
                <w:rFonts w:ascii="Aptos" w:hAnsi="Aptos"/>
                <w:b w:val="0"/>
                <w:sz w:val="19"/>
              </w:rPr>
              <w:t>Mark 10:47</w:t>
            </w:r>
          </w:p>
        </w:tc>
        <w:tc>
          <w:tcPr>
            <w:tcW w:type="dxa" w:w="3456"/>
          </w:tcPr>
          <w:p>
            <w:r/>
            <w:r>
              <w:rPr>
                <w:rFonts w:ascii="Aptos" w:hAnsi="Aptos"/>
                <w:b w:val="0"/>
                <w:sz w:val="19"/>
              </w:rPr>
              <w:t>What does Bartimaeus teach us about honest prayer?</w:t>
            </w:r>
          </w:p>
        </w:tc>
      </w:tr>
      <w:tr>
        <w:tc>
          <w:tcPr>
            <w:tcW w:type="dxa" w:w="3456"/>
          </w:tcPr>
          <w:p>
            <w:r/>
            <w:r>
              <w:rPr>
                <w:rFonts w:ascii="Aptos" w:hAnsi="Aptos"/>
                <w:b w:val="0"/>
                <w:sz w:val="19"/>
              </w:rPr>
              <w:t>Christ’s call</w:t>
            </w:r>
          </w:p>
        </w:tc>
        <w:tc>
          <w:tcPr>
            <w:tcW w:type="dxa" w:w="3456"/>
          </w:tcPr>
          <w:p>
            <w:r/>
            <w:r>
              <w:rPr>
                <w:rFonts w:ascii="Aptos" w:hAnsi="Aptos"/>
                <w:b w:val="0"/>
                <w:sz w:val="19"/>
              </w:rPr>
              <w:t>Mark 10:49</w:t>
            </w:r>
          </w:p>
        </w:tc>
        <w:tc>
          <w:tcPr>
            <w:tcW w:type="dxa" w:w="3456"/>
          </w:tcPr>
          <w:p>
            <w:r/>
            <w:r>
              <w:rPr>
                <w:rFonts w:ascii="Aptos" w:hAnsi="Aptos"/>
                <w:b w:val="0"/>
                <w:sz w:val="19"/>
              </w:rPr>
              <w:t>Who might the church be tempted to silence or overlook?</w:t>
            </w:r>
          </w:p>
        </w:tc>
      </w:tr>
      <w:tr>
        <w:tc>
          <w:tcPr>
            <w:tcW w:type="dxa" w:w="3456"/>
          </w:tcPr>
          <w:p>
            <w:r/>
            <w:r>
              <w:rPr>
                <w:rFonts w:ascii="Aptos" w:hAnsi="Aptos"/>
                <w:b w:val="0"/>
                <w:sz w:val="19"/>
              </w:rPr>
              <w:t>Restored sight</w:t>
            </w:r>
          </w:p>
        </w:tc>
        <w:tc>
          <w:tcPr>
            <w:tcW w:type="dxa" w:w="3456"/>
          </w:tcPr>
          <w:p>
            <w:r/>
            <w:r>
              <w:rPr>
                <w:rFonts w:ascii="Aptos" w:hAnsi="Aptos"/>
                <w:b w:val="0"/>
                <w:sz w:val="19"/>
              </w:rPr>
              <w:t>Psalm 146:8</w:t>
            </w:r>
          </w:p>
        </w:tc>
        <w:tc>
          <w:tcPr>
            <w:tcW w:type="dxa" w:w="3456"/>
          </w:tcPr>
          <w:p>
            <w:r/>
            <w:r>
              <w:rPr>
                <w:rFonts w:ascii="Aptos" w:hAnsi="Aptos"/>
                <w:b w:val="0"/>
                <w:sz w:val="19"/>
              </w:rPr>
              <w:t>How does physical healing point us toward Christ’s compassion?</w:t>
            </w:r>
          </w:p>
        </w:tc>
      </w:tr>
      <w:tr>
        <w:tc>
          <w:tcPr>
            <w:tcW w:type="dxa" w:w="3456"/>
          </w:tcPr>
          <w:p>
            <w:r/>
            <w:r>
              <w:rPr>
                <w:rFonts w:ascii="Aptos" w:hAnsi="Aptos"/>
                <w:b w:val="0"/>
                <w:sz w:val="19"/>
              </w:rPr>
              <w:t>Spiritual light</w:t>
            </w:r>
          </w:p>
        </w:tc>
        <w:tc>
          <w:tcPr>
            <w:tcW w:type="dxa" w:w="3456"/>
          </w:tcPr>
          <w:p>
            <w:r/>
            <w:r>
              <w:rPr>
                <w:rFonts w:ascii="Aptos" w:hAnsi="Aptos"/>
                <w:b w:val="0"/>
                <w:sz w:val="19"/>
              </w:rPr>
              <w:t>2 Corinthians 4:6</w:t>
            </w:r>
          </w:p>
        </w:tc>
        <w:tc>
          <w:tcPr>
            <w:tcW w:type="dxa" w:w="3456"/>
          </w:tcPr>
          <w:p>
            <w:r/>
            <w:r>
              <w:rPr>
                <w:rFonts w:ascii="Aptos" w:hAnsi="Aptos"/>
                <w:b w:val="0"/>
                <w:sz w:val="19"/>
              </w:rPr>
              <w:t>Where do we need God’s light to shine in us?</w:t>
            </w:r>
          </w:p>
        </w:tc>
      </w:tr>
      <w:tr>
        <w:tc>
          <w:tcPr>
            <w:tcW w:type="dxa" w:w="3456"/>
          </w:tcPr>
          <w:p>
            <w:r/>
            <w:r>
              <w:rPr>
                <w:rFonts w:ascii="Aptos" w:hAnsi="Aptos"/>
                <w:b w:val="0"/>
                <w:sz w:val="19"/>
              </w:rPr>
              <w:t>Discipleship</w:t>
            </w:r>
          </w:p>
        </w:tc>
        <w:tc>
          <w:tcPr>
            <w:tcW w:type="dxa" w:w="3456"/>
          </w:tcPr>
          <w:p>
            <w:r/>
            <w:r>
              <w:rPr>
                <w:rFonts w:ascii="Aptos" w:hAnsi="Aptos"/>
                <w:b w:val="0"/>
                <w:sz w:val="19"/>
              </w:rPr>
              <w:t>Mark 10:52</w:t>
            </w:r>
          </w:p>
        </w:tc>
        <w:tc>
          <w:tcPr>
            <w:tcW w:type="dxa" w:w="3456"/>
          </w:tcPr>
          <w:p>
            <w:r/>
            <w:r>
              <w:rPr>
                <w:rFonts w:ascii="Aptos" w:hAnsi="Aptos"/>
                <w:b w:val="0"/>
                <w:sz w:val="19"/>
              </w:rPr>
              <w:t>What would it mean to follow Jesus more faithfully this week?</w:t>
            </w:r>
          </w:p>
        </w:tc>
      </w:tr>
    </w:tbl>
    <w:p>
      <w:pPr>
        <w:pStyle w:val="Heading1"/>
        <w:spacing w:before="120" w:after="60"/>
      </w:pPr>
      <w:r>
        <w:t>Discussion Questions</w:t>
      </w:r>
    </w:p>
    <w:p>
      <w:pPr>
        <w:pStyle w:val="ListBullet"/>
        <w:spacing w:after="40"/>
        <w:ind w:left="259"/>
      </w:pPr>
      <w:r>
        <w:rPr>
          <w:rFonts w:ascii="Aptos" w:hAnsi="Aptos"/>
          <w:sz w:val="18"/>
        </w:rPr>
        <w:t>What details in the story show Bartimaeus’s need and courage?</w:t>
      </w:r>
    </w:p>
    <w:p>
      <w:pPr>
        <w:pStyle w:val="ListBullet"/>
        <w:spacing w:after="40"/>
        <w:ind w:left="259"/>
      </w:pPr>
      <w:r>
        <w:rPr>
          <w:rFonts w:ascii="Aptos" w:hAnsi="Aptos"/>
          <w:sz w:val="18"/>
        </w:rPr>
        <w:t>How does the crowd respond, and how does Jesus respond differently?</w:t>
      </w:r>
    </w:p>
    <w:p>
      <w:pPr>
        <w:pStyle w:val="ListBullet"/>
        <w:spacing w:after="40"/>
        <w:ind w:left="259"/>
      </w:pPr>
      <w:r>
        <w:rPr>
          <w:rFonts w:ascii="Aptos" w:hAnsi="Aptos"/>
          <w:sz w:val="18"/>
        </w:rPr>
        <w:t>Why is it key that Bartimaeus names Jesus as Son of David?</w:t>
      </w:r>
    </w:p>
    <w:p>
      <w:pPr>
        <w:pStyle w:val="ListBullet"/>
        <w:spacing w:after="40"/>
        <w:ind w:left="259"/>
      </w:pPr>
      <w:r>
        <w:rPr>
          <w:rFonts w:ascii="Aptos" w:hAnsi="Aptos"/>
          <w:sz w:val="18"/>
        </w:rPr>
        <w:t>How can persistent prayer remain humble rather than demanding?</w:t>
      </w:r>
    </w:p>
    <w:p>
      <w:pPr>
        <w:pStyle w:val="ListBullet"/>
        <w:spacing w:after="40"/>
        <w:ind w:left="259"/>
      </w:pPr>
      <w:r>
        <w:rPr>
          <w:rFonts w:ascii="Aptos" w:hAnsi="Aptos"/>
          <w:sz w:val="18"/>
        </w:rPr>
        <w:t>What is the connection between receiving mercy and following Jesus?</w:t>
      </w:r>
    </w:p>
    <w:p>
      <w:pPr>
        <w:pStyle w:val="ListBullet"/>
        <w:spacing w:after="40"/>
        <w:ind w:left="259"/>
      </w:pPr>
      <w:r>
        <w:rPr>
          <w:rFonts w:ascii="Aptos" w:hAnsi="Aptos"/>
          <w:sz w:val="18"/>
        </w:rPr>
        <w:t>How can a church become a community that says, “Cheer up, get up; he is calling you”?</w:t>
      </w:r>
    </w:p>
    <w:p>
      <w:pPr>
        <w:pStyle w:val="ListBullet"/>
        <w:spacing w:after="40"/>
        <w:ind w:left="259"/>
      </w:pPr>
      <w:r>
        <w:rPr>
          <w:rFonts w:ascii="Aptos" w:hAnsi="Aptos"/>
          <w:sz w:val="18"/>
        </w:rPr>
        <w:t>Where do you need Christ to give you clearer spiritual sight?</w:t>
      </w:r>
    </w:p>
    <w:p>
      <w:pPr>
        <w:pStyle w:val="Heading1"/>
        <w:spacing w:before="120" w:after="60"/>
      </w:pPr>
      <w:r>
        <w:t>Practice This Week</w:t>
      </w:r>
    </w:p>
    <w:p>
      <w:pPr>
        <w:pStyle w:val="ListBullet"/>
        <w:spacing w:after="40"/>
        <w:ind w:left="259"/>
      </w:pPr>
      <w:r>
        <w:rPr>
          <w:rFonts w:ascii="Aptos" w:hAnsi="Aptos"/>
          <w:sz w:val="18"/>
        </w:rPr>
        <w:t>Pray Mark 10:47 slowly each day, asking for mercy with honesty.</w:t>
      </w:r>
    </w:p>
    <w:p>
      <w:pPr>
        <w:pStyle w:val="ListBullet"/>
        <w:spacing w:after="40"/>
        <w:ind w:left="259"/>
      </w:pPr>
      <w:r>
        <w:rPr>
          <w:rFonts w:ascii="Aptos" w:hAnsi="Aptos"/>
          <w:sz w:val="18"/>
        </w:rPr>
        <w:t>Read Mark 10:46-52 and notice what Jesus does before and after the healing.</w:t>
      </w:r>
    </w:p>
    <w:p>
      <w:pPr>
        <w:pStyle w:val="ListBullet"/>
        <w:spacing w:after="40"/>
        <w:ind w:left="259"/>
      </w:pPr>
      <w:r>
        <w:rPr>
          <w:rFonts w:ascii="Aptos" w:hAnsi="Aptos"/>
          <w:sz w:val="18"/>
        </w:rPr>
        <w:t>Encourage one person who may feel overlooked or silenced.</w:t>
      </w:r>
    </w:p>
    <w:p>
      <w:pPr>
        <w:pStyle w:val="ListBullet"/>
        <w:spacing w:after="40"/>
        <w:ind w:left="259"/>
      </w:pPr>
      <w:r>
        <w:rPr>
          <w:rFonts w:ascii="Aptos" w:hAnsi="Aptos"/>
          <w:sz w:val="18"/>
        </w:rPr>
        <w:t>Name one concrete step of obedience that would show you are following Jesus on the way.</w:t>
      </w:r>
    </w:p>
    <w:p>
      <w:pPr>
        <w:pStyle w:val="Heading1"/>
        <w:spacing w:before="120" w:after="60"/>
      </w:pPr>
      <w:r>
        <w:t>Leader Notes</w:t>
      </w:r>
    </w:p>
    <w:p>
      <w:pPr>
        <w:spacing w:after="60" w:line="245" w:lineRule="auto"/>
      </w:pPr>
      <w:r>
        <w:rPr>
          <w:rFonts w:ascii="Aptos" w:hAnsi="Aptos"/>
          <w:sz w:val="19"/>
        </w:rPr>
        <w:t>Keep the group centered on Christ’s mercy rather than turning the story into a lesson about personal determination alone. Speak carefully about physical blindness and avoid treating disability as a simplistic picture of sin. The safer pastoral emphasis is that Jesus has compassion on suffering people and also gives spiritual light to human hearts.</w:t>
      </w:r>
    </w:p>
    <w:p>
      <w:pPr>
        <w:pStyle w:val="Heading1"/>
        <w:spacing w:before="120" w:after="60"/>
      </w:pPr>
      <w:r>
        <w:t>Closing Prayer</w:t>
      </w:r>
    </w:p>
    <w:p>
      <w:pPr>
        <w:spacing w:after="60" w:line="245" w:lineRule="auto"/>
      </w:pPr>
      <w:r>
        <w:rPr>
          <w:rFonts w:ascii="Aptos" w:hAnsi="Aptos"/>
          <w:sz w:val="19"/>
        </w:rPr>
        <w:t>Lord Jesus, Son of David, have mercy on us. Help us cry out with faith, hear your call with courage, receive your light with gratitude, and follow you on the way. Amen.</w:t>
      </w:r>
    </w:p>
    <w:p>
      <w:pPr>
        <w:jc w:val="center"/>
      </w:pPr>
      <w:r>
        <w:rPr>
          <w:rFonts w:ascii="Aptos" w:hAnsi="Aptos"/>
          <w:color w:val="5F5F5F"/>
          <w:sz w:val="15"/>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b w:val="0"/>
      <w:color w:val="2F241C"/>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7A4E2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7A4E2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color w:val="5B3B1E"/>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Blind Bartimaeus Small Group Handout</dc:title>
  <dc:subject>Hymn study resource</dc:subject>
  <dc:creator>HymnInfo.com</dc:creator>
  <cp:keywords>hymn study, Christian worship, church teaching, HymnInfo</cp:keywords>
  <dc:description>generated by python-docx</dc:description>
  <cp:lastModifiedBy/>
  <cp:revision>1</cp:revision>
  <dcterms:created xsi:type="dcterms:W3CDTF">2013-12-23T23:15:00Z</dcterms:created>
  <dcterms:modified xsi:type="dcterms:W3CDTF">2013-12-23T23:15:00Z</dcterms:modified>
  <cp:category>Hymn study resource</cp:category>
</cp:coreProperties>
</file>