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784C22"/>
          <w:sz w:val="42"/>
        </w:rPr>
        <w:t>Be Known to Us in Breaking Bread</w:t>
      </w:r>
    </w:p>
    <w:p>
      <w:pPr>
        <w:jc w:val="center"/>
      </w:pPr>
      <w:r>
        <w:rPr>
          <w:rFonts w:ascii="Aptos" w:hAnsi="Aptos"/>
          <w:color w:val="5C5246"/>
          <w:sz w:val="21"/>
        </w:rPr>
        <w:t>Small Group Handout</w:t>
      </w:r>
    </w:p>
    <w:p/>
    <w:p>
      <w:pPr>
        <w:spacing w:before="140" w:after="40"/>
      </w:pPr>
      <w:r>
        <w:rPr>
          <w:rFonts w:ascii="Georgia" w:hAnsi="Georgia"/>
          <w:b/>
          <w:color w:val="2E523E"/>
          <w:sz w:val="26"/>
        </w:rPr>
        <w:t>Purpose of This Study</w:t>
      </w:r>
    </w:p>
    <w:p>
      <w:pPr>
        <w:spacing w:after="60" w:line="252" w:lineRule="auto"/>
      </w:pPr>
      <w:r>
        <w:rPr>
          <w:rFonts w:ascii="Aptos" w:hAnsi="Aptos"/>
          <w:b w:val="0"/>
          <w:i w:val="0"/>
          <w:color w:val="26211C"/>
          <w:sz w:val="20"/>
        </w:rPr>
        <w:t>This study invites the group to reflect on the risen Christ who makes Himself known through Scripture, fellowship, prayer, and the breaking of bread. The hymn becomes a quiet prayer for Christ to abide with His people at the table and in the heart.</w:t>
      </w:r>
    </w:p>
    <w:p>
      <w:pPr>
        <w:spacing w:before="140" w:after="40"/>
      </w:pPr>
      <w:r>
        <w:rPr>
          <w:rFonts w:ascii="Georgia" w:hAnsi="Georgia"/>
          <w:b/>
          <w:color w:val="2E523E"/>
          <w:sz w:val="26"/>
        </w:rPr>
        <w:t>Opening Reflection</w:t>
      </w:r>
    </w:p>
    <w:p>
      <w:pPr>
        <w:pStyle w:val="ListBullet"/>
        <w:spacing w:after="20"/>
        <w:ind w:left="317"/>
      </w:pPr>
      <w:r>
        <w:rPr>
          <w:rFonts w:ascii="Aptos" w:hAnsi="Aptos"/>
          <w:color w:val="26211C"/>
          <w:sz w:val="19"/>
        </w:rPr>
        <w:t>When have you experienced Christian fellowship as more than a routine gathering?</w:t>
      </w:r>
    </w:p>
    <w:p>
      <w:pPr>
        <w:pStyle w:val="ListBullet"/>
        <w:spacing w:after="20"/>
        <w:ind w:left="317"/>
      </w:pPr>
      <w:r>
        <w:rPr>
          <w:rFonts w:ascii="Aptos" w:hAnsi="Aptos"/>
          <w:color w:val="26211C"/>
          <w:sz w:val="19"/>
        </w:rPr>
        <w:t>Why do meals often become places of memory, recognition, and relationship?</w:t>
      </w:r>
    </w:p>
    <w:p>
      <w:pPr>
        <w:pStyle w:val="ListBullet"/>
        <w:spacing w:after="20"/>
        <w:ind w:left="317"/>
      </w:pPr>
      <w:r>
        <w:rPr>
          <w:rFonts w:ascii="Aptos" w:hAnsi="Aptos"/>
          <w:color w:val="26211C"/>
          <w:sz w:val="19"/>
        </w:rPr>
        <w:t>What helps you approach the Lord’s Table with reverence and expectation?</w:t>
      </w:r>
    </w:p>
    <w:p>
      <w:pPr>
        <w:spacing w:before="140" w:after="40"/>
      </w:pPr>
      <w:r>
        <w:rPr>
          <w:rFonts w:ascii="Georgia" w:hAnsi="Georgia"/>
          <w:b/>
          <w:color w:val="2E523E"/>
          <w:sz w:val="26"/>
        </w:rPr>
        <w:t>Brief Hymn Background</w:t>
      </w:r>
    </w:p>
    <w:p>
      <w:pPr>
        <w:spacing w:after="60" w:line="252" w:lineRule="auto"/>
      </w:pPr>
      <w:r>
        <w:rPr>
          <w:rFonts w:ascii="Aptos" w:hAnsi="Aptos"/>
          <w:b w:val="0"/>
          <w:i w:val="0"/>
          <w:color w:val="26211C"/>
          <w:sz w:val="20"/>
        </w:rPr>
        <w:t>James Montgomery published “Be Known to Us in Breaking Bread” in The Christian Psalmist in 1825 under the heading “The Family Table.” The heading helps explain the hymn’s intimate, prayerful tone.</w:t>
      </w:r>
    </w:p>
    <w:p>
      <w:pPr>
        <w:spacing w:after="60" w:line="252" w:lineRule="auto"/>
      </w:pPr>
      <w:r>
        <w:rPr>
          <w:rFonts w:ascii="Aptos" w:hAnsi="Aptos"/>
          <w:b w:val="0"/>
          <w:i w:val="0"/>
          <w:color w:val="26211C"/>
          <w:sz w:val="20"/>
        </w:rPr>
        <w:t>Montgomery was a poet, editor, hymn writer, and reform-minded public figure with a Moravian background. His hymns often combine biblical imagery with warm devotional prayer.</w:t>
      </w:r>
    </w:p>
    <w:p>
      <w:pPr>
        <w:spacing w:after="60" w:line="252" w:lineRule="auto"/>
      </w:pPr>
      <w:r>
        <w:rPr>
          <w:rFonts w:ascii="Aptos" w:hAnsi="Aptos"/>
          <w:b w:val="0"/>
          <w:i w:val="0"/>
          <w:color w:val="26211C"/>
          <w:sz w:val="20"/>
        </w:rPr>
        <w:t>The text is commonly sung in Common Meter, 8.6.8.6. A frequent tune is ST. FLAVIAN, an English psalter melody associated with John Day’s 1562 psalter tradition. Other Common Meter tunes may also be used.</w:t>
      </w:r>
    </w:p>
    <w:p>
      <w:pPr>
        <w:spacing w:before="140" w:after="40"/>
      </w:pPr>
      <w:r>
        <w:rPr>
          <w:rFonts w:ascii="Georgia" w:hAnsi="Georgia"/>
          <w:b/>
          <w:color w:val="2E523E"/>
          <w:sz w:val="26"/>
        </w:rPr>
        <w:t>Primary Scripture and Supporting Texts</w:t>
      </w:r>
    </w:p>
    <w:p>
      <w:pPr>
        <w:spacing w:after="60" w:line="252" w:lineRule="auto"/>
      </w:pPr>
      <w:r>
        <w:rPr>
          <w:rFonts w:ascii="Aptos" w:hAnsi="Aptos"/>
          <w:b w:val="0"/>
          <w:i w:val="0"/>
          <w:color w:val="26211C"/>
          <w:sz w:val="20"/>
        </w:rPr>
        <w:t>Primary text: Luke 24:30-35, where the risen Christ is recognized by the Emmaus disciples in the breaking of bread.</w:t>
      </w:r>
    </w:p>
    <w:p>
      <w:pPr>
        <w:pStyle w:val="ListBullet"/>
        <w:spacing w:after="20"/>
        <w:ind w:left="317"/>
      </w:pPr>
      <w:r>
        <w:rPr>
          <w:rFonts w:ascii="Aptos" w:hAnsi="Aptos"/>
          <w:color w:val="26211C"/>
          <w:sz w:val="19"/>
        </w:rPr>
        <w:t>Acts 2:42 - the early church continued in teaching, fellowship, breaking of bread, and prayer.</w:t>
      </w:r>
    </w:p>
    <w:p>
      <w:pPr>
        <w:pStyle w:val="ListBullet"/>
        <w:spacing w:after="20"/>
        <w:ind w:left="317"/>
      </w:pPr>
      <w:r>
        <w:rPr>
          <w:rFonts w:ascii="Aptos" w:hAnsi="Aptos"/>
          <w:color w:val="26211C"/>
          <w:sz w:val="19"/>
        </w:rPr>
        <w:t>1 Corinthians 10:16 - the bread and cup are a sharing in Christ.</w:t>
      </w:r>
    </w:p>
    <w:p>
      <w:pPr>
        <w:pStyle w:val="ListBullet"/>
        <w:spacing w:after="20"/>
        <w:ind w:left="317"/>
      </w:pPr>
      <w:r>
        <w:rPr>
          <w:rFonts w:ascii="Aptos" w:hAnsi="Aptos"/>
          <w:color w:val="26211C"/>
          <w:sz w:val="19"/>
        </w:rPr>
        <w:t>1 Corinthians 11:26 - the meal proclaims the Lord’s death until He comes.</w:t>
      </w:r>
    </w:p>
    <w:p>
      <w:pPr>
        <w:pStyle w:val="ListBullet"/>
        <w:spacing w:after="20"/>
        <w:ind w:left="317"/>
      </w:pPr>
      <w:r>
        <w:rPr>
          <w:rFonts w:ascii="Aptos" w:hAnsi="Aptos"/>
          <w:color w:val="26211C"/>
          <w:sz w:val="19"/>
        </w:rPr>
        <w:t>John 6:35 - Jesus identifies Himself as the bread of life.</w:t>
      </w:r>
    </w:p>
    <w:p>
      <w:pPr>
        <w:spacing w:before="140" w:after="40"/>
      </w:pPr>
      <w:r>
        <w:rPr>
          <w:rFonts w:ascii="Georgia" w:hAnsi="Georgia"/>
          <w:b/>
          <w:color w:val="2E523E"/>
          <w:sz w:val="26"/>
        </w:rPr>
        <w:t>Hymn-Section Study</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EADFCB"/>
            <w:vAlign w:val="top"/>
          </w:tcPr>
          <w:p>
            <w:r/>
            <w:r>
              <w:rPr>
                <w:rFonts w:ascii="Aptos" w:hAnsi="Aptos"/>
                <w:b/>
                <w:color w:val="2E523E"/>
                <w:sz w:val="18"/>
              </w:rPr>
              <w:t>Section</w:t>
            </w:r>
          </w:p>
        </w:tc>
        <w:tc>
          <w:tcPr>
            <w:tcW w:type="dxa" w:w="3485"/>
            <w:shd w:fill="EADFCB"/>
            <w:vAlign w:val="top"/>
          </w:tcPr>
          <w:p>
            <w:r/>
            <w:r>
              <w:rPr>
                <w:rFonts w:ascii="Aptos" w:hAnsi="Aptos"/>
                <w:b/>
                <w:color w:val="2E523E"/>
                <w:sz w:val="18"/>
              </w:rPr>
              <w:t>Main Theme</w:t>
            </w:r>
          </w:p>
        </w:tc>
        <w:tc>
          <w:tcPr>
            <w:tcW w:type="dxa" w:w="3485"/>
            <w:shd w:fill="EADFCB"/>
            <w:vAlign w:val="top"/>
          </w:tcPr>
          <w:p>
            <w:r/>
            <w:r>
              <w:rPr>
                <w:rFonts w:ascii="Aptos" w:hAnsi="Aptos"/>
                <w:b/>
                <w:color w:val="2E523E"/>
                <w:sz w:val="18"/>
              </w:rPr>
              <w:t>Scripture Connection</w:t>
            </w:r>
          </w:p>
        </w:tc>
      </w:tr>
      <w:tr>
        <w:tc>
          <w:tcPr>
            <w:tcW w:type="dxa" w:w="3485"/>
            <w:vAlign w:val="top"/>
          </w:tcPr>
          <w:p>
            <w:r/>
            <w:r>
              <w:rPr>
                <w:rFonts w:ascii="Aptos" w:hAnsi="Aptos"/>
                <w:b w:val="0"/>
                <w:sz w:val="17"/>
              </w:rPr>
              <w:t>Opening prayer</w:t>
            </w:r>
          </w:p>
        </w:tc>
        <w:tc>
          <w:tcPr>
            <w:tcW w:type="dxa" w:w="3485"/>
            <w:vAlign w:val="top"/>
          </w:tcPr>
          <w:p>
            <w:r/>
            <w:r>
              <w:rPr>
                <w:rFonts w:ascii="Aptos" w:hAnsi="Aptos"/>
                <w:b w:val="0"/>
                <w:sz w:val="17"/>
              </w:rPr>
              <w:t>The hymn asks Christ to be recognized in the breaking of bread, echoing the Emmaus story.</w:t>
            </w:r>
          </w:p>
        </w:tc>
        <w:tc>
          <w:tcPr>
            <w:tcW w:type="dxa" w:w="3485"/>
            <w:vAlign w:val="top"/>
          </w:tcPr>
          <w:p>
            <w:r/>
            <w:r>
              <w:rPr>
                <w:rFonts w:ascii="Aptos" w:hAnsi="Aptos"/>
                <w:b w:val="0"/>
                <w:sz w:val="17"/>
              </w:rPr>
              <w:t>Luke 24:30-31 shows the disciples’ eyes opened at the table.</w:t>
            </w:r>
          </w:p>
        </w:tc>
      </w:tr>
      <w:tr>
        <w:tc>
          <w:tcPr>
            <w:tcW w:type="dxa" w:w="3485"/>
            <w:vAlign w:val="top"/>
          </w:tcPr>
          <w:p>
            <w:r/>
            <w:r>
              <w:rPr>
                <w:rFonts w:ascii="Aptos" w:hAnsi="Aptos"/>
                <w:b w:val="0"/>
                <w:sz w:val="17"/>
              </w:rPr>
              <w:t>Abiding presence</w:t>
            </w:r>
          </w:p>
        </w:tc>
        <w:tc>
          <w:tcPr>
            <w:tcW w:type="dxa" w:w="3485"/>
            <w:vAlign w:val="top"/>
          </w:tcPr>
          <w:p>
            <w:r/>
            <w:r>
              <w:rPr>
                <w:rFonts w:ascii="Aptos" w:hAnsi="Aptos"/>
                <w:b w:val="0"/>
                <w:sz w:val="17"/>
              </w:rPr>
              <w:t>The prayer asks the Savior not to depart but to remain with His people.</w:t>
            </w:r>
          </w:p>
        </w:tc>
        <w:tc>
          <w:tcPr>
            <w:tcW w:type="dxa" w:w="3485"/>
            <w:vAlign w:val="top"/>
          </w:tcPr>
          <w:p>
            <w:r/>
            <w:r>
              <w:rPr>
                <w:rFonts w:ascii="Aptos" w:hAnsi="Aptos"/>
                <w:b w:val="0"/>
                <w:sz w:val="17"/>
              </w:rPr>
              <w:t>Luke 24:32-35 connects recognition, burning hearts, witness, and gathered fellowship.</w:t>
            </w:r>
          </w:p>
        </w:tc>
      </w:tr>
      <w:tr>
        <w:tc>
          <w:tcPr>
            <w:tcW w:type="dxa" w:w="3485"/>
            <w:vAlign w:val="top"/>
          </w:tcPr>
          <w:p>
            <w:r/>
            <w:r>
              <w:rPr>
                <w:rFonts w:ascii="Aptos" w:hAnsi="Aptos"/>
                <w:b w:val="0"/>
                <w:sz w:val="17"/>
              </w:rPr>
              <w:t>Table in the heart</w:t>
            </w:r>
          </w:p>
        </w:tc>
        <w:tc>
          <w:tcPr>
            <w:tcW w:type="dxa" w:w="3485"/>
            <w:vAlign w:val="top"/>
          </w:tcPr>
          <w:p>
            <w:r/>
            <w:r>
              <w:rPr>
                <w:rFonts w:ascii="Aptos" w:hAnsi="Aptos"/>
                <w:b w:val="0"/>
                <w:sz w:val="17"/>
              </w:rPr>
              <w:t>The hymn moves from the outward table to inward communion with Christ.</w:t>
            </w:r>
          </w:p>
        </w:tc>
        <w:tc>
          <w:tcPr>
            <w:tcW w:type="dxa" w:w="3485"/>
            <w:vAlign w:val="top"/>
          </w:tcPr>
          <w:p>
            <w:r/>
            <w:r>
              <w:rPr>
                <w:rFonts w:ascii="Aptos" w:hAnsi="Aptos"/>
                <w:b w:val="0"/>
                <w:sz w:val="17"/>
              </w:rPr>
              <w:t>Acts 2:42 places breaking bread within teaching, fellowship, and prayer.</w:t>
            </w:r>
          </w:p>
        </w:tc>
      </w:tr>
      <w:tr>
        <w:tc>
          <w:tcPr>
            <w:tcW w:type="dxa" w:w="3485"/>
            <w:vAlign w:val="top"/>
          </w:tcPr>
          <w:p>
            <w:r/>
            <w:r>
              <w:rPr>
                <w:rFonts w:ascii="Aptos" w:hAnsi="Aptos"/>
                <w:b w:val="0"/>
                <w:sz w:val="17"/>
              </w:rPr>
              <w:t>Living nourishment</w:t>
            </w:r>
          </w:p>
        </w:tc>
        <w:tc>
          <w:tcPr>
            <w:tcW w:type="dxa" w:w="3485"/>
            <w:vAlign w:val="top"/>
          </w:tcPr>
          <w:p>
            <w:r/>
            <w:r>
              <w:rPr>
                <w:rFonts w:ascii="Aptos" w:hAnsi="Aptos"/>
                <w:b w:val="0"/>
                <w:sz w:val="17"/>
              </w:rPr>
              <w:t>Bread and cup become signs of divine love and spiritual food.</w:t>
            </w:r>
          </w:p>
        </w:tc>
        <w:tc>
          <w:tcPr>
            <w:tcW w:type="dxa" w:w="3485"/>
            <w:vAlign w:val="top"/>
          </w:tcPr>
          <w:p>
            <w:r/>
            <w:r>
              <w:rPr>
                <w:rFonts w:ascii="Aptos" w:hAnsi="Aptos"/>
                <w:b w:val="0"/>
                <w:sz w:val="17"/>
              </w:rPr>
              <w:t>1 Corinthians 10:16 and John 6:35 deepen the language of participation and life.</w:t>
            </w:r>
          </w:p>
        </w:tc>
      </w:tr>
    </w:tbl>
    <w:p/>
    <w:p>
      <w:pPr>
        <w:spacing w:before="140" w:after="40"/>
      </w:pPr>
      <w:r>
        <w:rPr>
          <w:rFonts w:ascii="Georgia" w:hAnsi="Georgia"/>
          <w:b/>
          <w:color w:val="2E523E"/>
          <w:sz w:val="26"/>
        </w:rPr>
        <w:t>Study Table</w:t>
      </w:r>
    </w:p>
    <w:tbl>
      <w:tblPr>
        <w:tblStyle w:val="TableGrid"/>
        <w:tblW w:type="auto" w:w="0"/>
        <w:jc w:val="center"/>
        <w:tblLook w:firstColumn="1" w:firstRow="1" w:lastColumn="0" w:lastRow="0" w:noHBand="0" w:noVBand="1" w:val="04A0"/>
      </w:tblPr>
      <w:tblGrid>
        <w:gridCol w:w="3485"/>
        <w:gridCol w:w="3485"/>
        <w:gridCol w:w="3485"/>
      </w:tblGrid>
      <w:tr>
        <w:tc>
          <w:tcPr>
            <w:tcW w:type="dxa" w:w="3485"/>
            <w:shd w:fill="EADFCB"/>
            <w:vAlign w:val="top"/>
          </w:tcPr>
          <w:p>
            <w:r/>
            <w:r>
              <w:rPr>
                <w:rFonts w:ascii="Aptos" w:hAnsi="Aptos"/>
                <w:b/>
                <w:color w:val="2E523E"/>
                <w:sz w:val="18"/>
              </w:rPr>
              <w:t>Hymn Theme</w:t>
            </w:r>
          </w:p>
        </w:tc>
        <w:tc>
          <w:tcPr>
            <w:tcW w:type="dxa" w:w="3485"/>
            <w:shd w:fill="EADFCB"/>
            <w:vAlign w:val="top"/>
          </w:tcPr>
          <w:p>
            <w:r/>
            <w:r>
              <w:rPr>
                <w:rFonts w:ascii="Aptos" w:hAnsi="Aptos"/>
                <w:b/>
                <w:color w:val="2E523E"/>
                <w:sz w:val="18"/>
              </w:rPr>
              <w:t>Scripture Connection</w:t>
            </w:r>
          </w:p>
        </w:tc>
        <w:tc>
          <w:tcPr>
            <w:tcW w:type="dxa" w:w="3485"/>
            <w:shd w:fill="EADFCB"/>
            <w:vAlign w:val="top"/>
          </w:tcPr>
          <w:p>
            <w:r/>
            <w:r>
              <w:rPr>
                <w:rFonts w:ascii="Aptos" w:hAnsi="Aptos"/>
                <w:b/>
                <w:color w:val="2E523E"/>
                <w:sz w:val="18"/>
              </w:rPr>
              <w:t>Discussion Prompt</w:t>
            </w:r>
          </w:p>
        </w:tc>
      </w:tr>
      <w:tr>
        <w:tc>
          <w:tcPr>
            <w:tcW w:type="dxa" w:w="3485"/>
            <w:vAlign w:val="top"/>
          </w:tcPr>
          <w:p>
            <w:r/>
            <w:r>
              <w:rPr>
                <w:rFonts w:ascii="Aptos" w:hAnsi="Aptos"/>
                <w:b w:val="0"/>
                <w:sz w:val="17"/>
              </w:rPr>
              <w:t>Recognition of Christ</w:t>
            </w:r>
          </w:p>
        </w:tc>
        <w:tc>
          <w:tcPr>
            <w:tcW w:type="dxa" w:w="3485"/>
            <w:vAlign w:val="top"/>
          </w:tcPr>
          <w:p>
            <w:r/>
            <w:r>
              <w:rPr>
                <w:rFonts w:ascii="Aptos" w:hAnsi="Aptos"/>
                <w:b w:val="0"/>
                <w:sz w:val="17"/>
              </w:rPr>
              <w:t>Luke 24:30-31</w:t>
            </w:r>
          </w:p>
        </w:tc>
        <w:tc>
          <w:tcPr>
            <w:tcW w:type="dxa" w:w="3485"/>
            <w:vAlign w:val="top"/>
          </w:tcPr>
          <w:p>
            <w:r/>
            <w:r>
              <w:rPr>
                <w:rFonts w:ascii="Aptos" w:hAnsi="Aptos"/>
                <w:b w:val="0"/>
                <w:sz w:val="17"/>
              </w:rPr>
              <w:t>What opens our eyes to the risen Lord in worship?</w:t>
            </w:r>
          </w:p>
        </w:tc>
      </w:tr>
      <w:tr>
        <w:tc>
          <w:tcPr>
            <w:tcW w:type="dxa" w:w="3485"/>
            <w:vAlign w:val="top"/>
          </w:tcPr>
          <w:p>
            <w:r/>
            <w:r>
              <w:rPr>
                <w:rFonts w:ascii="Aptos" w:hAnsi="Aptos"/>
                <w:b w:val="0"/>
                <w:sz w:val="17"/>
              </w:rPr>
              <w:t>Abiding presence</w:t>
            </w:r>
          </w:p>
        </w:tc>
        <w:tc>
          <w:tcPr>
            <w:tcW w:type="dxa" w:w="3485"/>
            <w:vAlign w:val="top"/>
          </w:tcPr>
          <w:p>
            <w:r/>
            <w:r>
              <w:rPr>
                <w:rFonts w:ascii="Aptos" w:hAnsi="Aptos"/>
                <w:b w:val="0"/>
                <w:sz w:val="17"/>
              </w:rPr>
              <w:t>Luke 24:32-35</w:t>
            </w:r>
          </w:p>
        </w:tc>
        <w:tc>
          <w:tcPr>
            <w:tcW w:type="dxa" w:w="3485"/>
            <w:vAlign w:val="top"/>
          </w:tcPr>
          <w:p>
            <w:r/>
            <w:r>
              <w:rPr>
                <w:rFonts w:ascii="Aptos" w:hAnsi="Aptos"/>
                <w:b w:val="0"/>
                <w:sz w:val="17"/>
              </w:rPr>
              <w:t>How does communion move us from private comfort to public witness?</w:t>
            </w:r>
          </w:p>
        </w:tc>
      </w:tr>
      <w:tr>
        <w:tc>
          <w:tcPr>
            <w:tcW w:type="dxa" w:w="3485"/>
            <w:vAlign w:val="top"/>
          </w:tcPr>
          <w:p>
            <w:r/>
            <w:r>
              <w:rPr>
                <w:rFonts w:ascii="Aptos" w:hAnsi="Aptos"/>
                <w:b w:val="0"/>
                <w:sz w:val="17"/>
              </w:rPr>
              <w:t>Fellowship and prayer</w:t>
            </w:r>
          </w:p>
        </w:tc>
        <w:tc>
          <w:tcPr>
            <w:tcW w:type="dxa" w:w="3485"/>
            <w:vAlign w:val="top"/>
          </w:tcPr>
          <w:p>
            <w:r/>
            <w:r>
              <w:rPr>
                <w:rFonts w:ascii="Aptos" w:hAnsi="Aptos"/>
                <w:b w:val="0"/>
                <w:sz w:val="17"/>
              </w:rPr>
              <w:t>Acts 2:42</w:t>
            </w:r>
          </w:p>
        </w:tc>
        <w:tc>
          <w:tcPr>
            <w:tcW w:type="dxa" w:w="3485"/>
            <w:vAlign w:val="top"/>
          </w:tcPr>
          <w:p>
            <w:r/>
            <w:r>
              <w:rPr>
                <w:rFonts w:ascii="Aptos" w:hAnsi="Aptos"/>
                <w:b w:val="0"/>
                <w:sz w:val="17"/>
              </w:rPr>
              <w:t>How do Scripture, fellowship, bread, and prayer belong together?</w:t>
            </w:r>
          </w:p>
        </w:tc>
      </w:tr>
      <w:tr>
        <w:tc>
          <w:tcPr>
            <w:tcW w:type="dxa" w:w="3485"/>
            <w:vAlign w:val="top"/>
          </w:tcPr>
          <w:p>
            <w:r/>
            <w:r>
              <w:rPr>
                <w:rFonts w:ascii="Aptos" w:hAnsi="Aptos"/>
                <w:b w:val="0"/>
                <w:sz w:val="17"/>
              </w:rPr>
              <w:t>Participation in Christ</w:t>
            </w:r>
          </w:p>
        </w:tc>
        <w:tc>
          <w:tcPr>
            <w:tcW w:type="dxa" w:w="3485"/>
            <w:vAlign w:val="top"/>
          </w:tcPr>
          <w:p>
            <w:r/>
            <w:r>
              <w:rPr>
                <w:rFonts w:ascii="Aptos" w:hAnsi="Aptos"/>
                <w:b w:val="0"/>
                <w:sz w:val="17"/>
              </w:rPr>
              <w:t>1 Corinthians 10:16</w:t>
            </w:r>
          </w:p>
        </w:tc>
        <w:tc>
          <w:tcPr>
            <w:tcW w:type="dxa" w:w="3485"/>
            <w:vAlign w:val="top"/>
          </w:tcPr>
          <w:p>
            <w:r/>
            <w:r>
              <w:rPr>
                <w:rFonts w:ascii="Aptos" w:hAnsi="Aptos"/>
                <w:b w:val="0"/>
                <w:sz w:val="17"/>
              </w:rPr>
              <w:t>How should the Lord’s Table deepen unity and gratitude?</w:t>
            </w:r>
          </w:p>
        </w:tc>
      </w:tr>
    </w:tbl>
    <w:p/>
    <w:p>
      <w:pPr>
        <w:spacing w:before="140" w:after="40"/>
      </w:pPr>
      <w:r>
        <w:rPr>
          <w:rFonts w:ascii="Georgia" w:hAnsi="Georgia"/>
          <w:b/>
          <w:color w:val="2E523E"/>
          <w:sz w:val="26"/>
        </w:rPr>
        <w:t>Discussion Questions</w:t>
      </w:r>
    </w:p>
    <w:p>
      <w:pPr>
        <w:pStyle w:val="ListBullet"/>
        <w:spacing w:after="20"/>
        <w:ind w:left="317"/>
      </w:pPr>
      <w:r>
        <w:rPr>
          <w:rFonts w:ascii="Aptos" w:hAnsi="Aptos"/>
          <w:color w:val="26211C"/>
          <w:sz w:val="19"/>
        </w:rPr>
        <w:t>Why is the Emmaus table a fitting background for a communion hymn?</w:t>
      </w:r>
    </w:p>
    <w:p>
      <w:pPr>
        <w:pStyle w:val="ListBullet"/>
        <w:spacing w:after="20"/>
        <w:ind w:left="317"/>
      </w:pPr>
      <w:r>
        <w:rPr>
          <w:rFonts w:ascii="Aptos" w:hAnsi="Aptos"/>
          <w:color w:val="26211C"/>
          <w:sz w:val="19"/>
        </w:rPr>
        <w:t>How does the hymn help worshipers seek Christ rather than merely perform a ritual?</w:t>
      </w:r>
    </w:p>
    <w:p>
      <w:pPr>
        <w:pStyle w:val="ListBullet"/>
        <w:spacing w:after="20"/>
        <w:ind w:left="317"/>
      </w:pPr>
      <w:r>
        <w:rPr>
          <w:rFonts w:ascii="Aptos" w:hAnsi="Aptos"/>
          <w:color w:val="26211C"/>
          <w:sz w:val="19"/>
        </w:rPr>
        <w:t>What does it mean for Christ to spread His table in the heart?</w:t>
      </w:r>
    </w:p>
    <w:p>
      <w:pPr>
        <w:pStyle w:val="ListBullet"/>
        <w:spacing w:after="20"/>
        <w:ind w:left="317"/>
      </w:pPr>
      <w:r>
        <w:rPr>
          <w:rFonts w:ascii="Aptos" w:hAnsi="Aptos"/>
          <w:color w:val="26211C"/>
          <w:sz w:val="19"/>
        </w:rPr>
        <w:t>How should the Lord’s Supper shape fellowship among believers?</w:t>
      </w:r>
    </w:p>
    <w:p>
      <w:pPr>
        <w:pStyle w:val="ListBullet"/>
        <w:spacing w:after="20"/>
        <w:ind w:left="317"/>
      </w:pPr>
      <w:r>
        <w:rPr>
          <w:rFonts w:ascii="Aptos" w:hAnsi="Aptos"/>
          <w:color w:val="26211C"/>
          <w:sz w:val="19"/>
        </w:rPr>
        <w:t>What dangers arise when communion is separated from Scripture, prayer, or repentance?</w:t>
      </w:r>
    </w:p>
    <w:p>
      <w:pPr>
        <w:pStyle w:val="ListBullet"/>
        <w:spacing w:after="20"/>
        <w:ind w:left="317"/>
      </w:pPr>
      <w:r>
        <w:rPr>
          <w:rFonts w:ascii="Aptos" w:hAnsi="Aptos"/>
          <w:color w:val="26211C"/>
          <w:sz w:val="19"/>
        </w:rPr>
        <w:t>How can a congregation receive communion with both quiet reverence and Easter joy?</w:t>
      </w:r>
    </w:p>
    <w:p>
      <w:pPr>
        <w:pStyle w:val="ListBullet"/>
        <w:spacing w:after="20"/>
        <w:ind w:left="317"/>
      </w:pPr>
      <w:r>
        <w:rPr>
          <w:rFonts w:ascii="Aptos" w:hAnsi="Aptos"/>
          <w:color w:val="26211C"/>
          <w:sz w:val="19"/>
        </w:rPr>
        <w:t>What witness should flow from recognizing the risen Christ at the table?</w:t>
      </w:r>
    </w:p>
    <w:p>
      <w:pPr>
        <w:spacing w:before="140" w:after="40"/>
      </w:pPr>
      <w:r>
        <w:rPr>
          <w:rFonts w:ascii="Georgia" w:hAnsi="Georgia"/>
          <w:b/>
          <w:color w:val="2E523E"/>
          <w:sz w:val="26"/>
        </w:rPr>
        <w:t>Practice This Week</w:t>
      </w:r>
    </w:p>
    <w:p>
      <w:pPr>
        <w:pStyle w:val="ListBullet"/>
        <w:spacing w:after="20"/>
        <w:ind w:left="317"/>
      </w:pPr>
      <w:r>
        <w:rPr>
          <w:rFonts w:ascii="Aptos" w:hAnsi="Aptos"/>
          <w:color w:val="26211C"/>
          <w:sz w:val="19"/>
        </w:rPr>
        <w:t>Read Luke 24:13-35 and notice the movement from confusion to recognition and witness.</w:t>
      </w:r>
    </w:p>
    <w:p>
      <w:pPr>
        <w:pStyle w:val="ListBullet"/>
        <w:spacing w:after="20"/>
        <w:ind w:left="317"/>
      </w:pPr>
      <w:r>
        <w:rPr>
          <w:rFonts w:ascii="Aptos" w:hAnsi="Aptos"/>
          <w:color w:val="26211C"/>
          <w:sz w:val="19"/>
        </w:rPr>
        <w:t>Before the next communion service, pray for a deeper love for Christ and His church.</w:t>
      </w:r>
    </w:p>
    <w:p>
      <w:pPr>
        <w:pStyle w:val="ListBullet"/>
        <w:spacing w:after="20"/>
        <w:ind w:left="317"/>
      </w:pPr>
      <w:r>
        <w:rPr>
          <w:rFonts w:ascii="Aptos" w:hAnsi="Aptos"/>
          <w:color w:val="26211C"/>
          <w:sz w:val="19"/>
        </w:rPr>
        <w:t>Share a meal or simple act of hospitality with another believer.</w:t>
      </w:r>
    </w:p>
    <w:p>
      <w:pPr>
        <w:pStyle w:val="ListBullet"/>
        <w:spacing w:after="20"/>
        <w:ind w:left="317"/>
      </w:pPr>
      <w:r>
        <w:rPr>
          <w:rFonts w:ascii="Aptos" w:hAnsi="Aptos"/>
          <w:color w:val="26211C"/>
          <w:sz w:val="19"/>
        </w:rPr>
        <w:t>Give thanks for one specific way Christ has nourished your faith.</w:t>
      </w:r>
    </w:p>
    <w:p>
      <w:pPr>
        <w:pStyle w:val="ListBullet"/>
        <w:spacing w:after="20"/>
        <w:ind w:left="317"/>
      </w:pPr>
      <w:r>
        <w:rPr>
          <w:rFonts w:ascii="Aptos" w:hAnsi="Aptos"/>
          <w:color w:val="26211C"/>
          <w:sz w:val="19"/>
        </w:rPr>
        <w:t>Let the Lord’s Table remind you to pursue reconciliation and fellowship.</w:t>
      </w:r>
    </w:p>
    <w:p>
      <w:pPr>
        <w:spacing w:before="140" w:after="40"/>
      </w:pPr>
      <w:r>
        <w:rPr>
          <w:rFonts w:ascii="Georgia" w:hAnsi="Georgia"/>
          <w:b/>
          <w:color w:val="2E523E"/>
          <w:sz w:val="26"/>
        </w:rPr>
        <w:t>Optional Leader Notes</w:t>
      </w:r>
    </w:p>
    <w:p>
      <w:pPr>
        <w:spacing w:after="60" w:line="252" w:lineRule="auto"/>
      </w:pPr>
      <w:r>
        <w:rPr>
          <w:rFonts w:ascii="Aptos" w:hAnsi="Aptos"/>
          <w:b w:val="0"/>
          <w:i w:val="0"/>
          <w:color w:val="26211C"/>
          <w:sz w:val="20"/>
        </w:rPr>
        <w:t>Keep the conversation centered on Christ’s risen presence. The hymn is short, so let Scripture provide depth. Invite participants to connect the table at Emmaus with the church’s ongoing life of teaching, fellowship, breaking bread, and prayer.</w:t>
      </w:r>
    </w:p>
    <w:p>
      <w:pPr>
        <w:spacing w:before="140" w:after="40"/>
      </w:pPr>
      <w:r>
        <w:rPr>
          <w:rFonts w:ascii="Georgia" w:hAnsi="Georgia"/>
          <w:b/>
          <w:color w:val="2E523E"/>
          <w:sz w:val="26"/>
        </w:rPr>
        <w:t>Closing Prayer</w:t>
      </w:r>
    </w:p>
    <w:p>
      <w:pPr>
        <w:spacing w:after="60" w:line="252" w:lineRule="auto"/>
      </w:pPr>
      <w:r>
        <w:rPr>
          <w:rFonts w:ascii="Aptos" w:hAnsi="Aptos"/>
          <w:b w:val="0"/>
          <w:i w:val="0"/>
          <w:color w:val="26211C"/>
          <w:sz w:val="20"/>
        </w:rPr>
        <w:t>Risen Lord Jesus, make Yourself known to us as we hear Your word, gather with Your people, and receive the signs of Your love. Abide with us, nourish our faith, and send us out with joy. Amen.</w:t>
      </w:r>
    </w:p>
    <w:p>
      <w:pPr>
        <w:spacing w:after="60" w:line="252" w:lineRule="auto"/>
      </w:pPr>
      <w:r>
        <w:rPr>
          <w:rFonts w:ascii="Aptos" w:hAnsi="Aptos"/>
          <w:b w:val="0"/>
          <w:i/>
          <w:color w:val="26211C"/>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color w:val="5C524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Known to Us in Breaking Bread</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ntentStatus/>
  <dc:identifier/>
  <cp:version/>
</cp:coreProperties>
</file>